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62" w:rsidRPr="002946A7" w:rsidRDefault="00E23462" w:rsidP="00E23462">
      <w:pPr>
        <w:spacing w:before="120" w:after="120" w:line="300" w:lineRule="atLeast"/>
        <w:rPr>
          <w:rFonts w:ascii="Rubik" w:hAnsi="Rubik" w:cs="Rubik"/>
          <w:color w:val="000000"/>
          <w:sz w:val="32"/>
          <w:szCs w:val="32"/>
        </w:rPr>
      </w:pPr>
      <w:r w:rsidRPr="002946A7">
        <w:rPr>
          <w:rFonts w:ascii="Rubik" w:hAnsi="Rubik" w:cs="Rubik"/>
          <w:color w:val="000000"/>
          <w:sz w:val="32"/>
          <w:szCs w:val="32"/>
        </w:rPr>
        <w:t>IME Board Members – Job Description</w:t>
      </w:r>
    </w:p>
    <w:p w:rsidR="00E23462" w:rsidRPr="002946A7" w:rsidRDefault="00E23462" w:rsidP="00E23462">
      <w:p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A member of the IME Board of Trustees will be expected to perform a number of tasks including:</w:t>
      </w:r>
    </w:p>
    <w:p w:rsidR="00E23462" w:rsidRPr="002946A7" w:rsidRDefault="00E23462" w:rsidP="00E23462">
      <w:pPr>
        <w:spacing w:before="120" w:after="120" w:line="300" w:lineRule="atLeast"/>
        <w:rPr>
          <w:rFonts w:ascii="Rubik" w:hAnsi="Rubik" w:cs="Rubik"/>
          <w:color w:val="000000"/>
          <w:szCs w:val="20"/>
        </w:rPr>
      </w:pPr>
    </w:p>
    <w:p w:rsidR="00E23462" w:rsidRPr="002946A7" w:rsidRDefault="00E23462" w:rsidP="00E23462">
      <w:p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Legal Requirement</w:t>
      </w:r>
      <w:bookmarkStart w:id="0" w:name="_GoBack"/>
      <w:bookmarkEnd w:id="0"/>
    </w:p>
    <w:p w:rsidR="00E23462" w:rsidRPr="002946A7" w:rsidRDefault="00E23462" w:rsidP="00E23462">
      <w:pPr>
        <w:numPr>
          <w:ilvl w:val="0"/>
          <w:numId w:val="1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Ensure that the charity pursues its objectives as set out in the governing document</w:t>
      </w:r>
    </w:p>
    <w:p w:rsidR="00E23462" w:rsidRPr="002946A7" w:rsidRDefault="00E23462" w:rsidP="00E23462">
      <w:pPr>
        <w:numPr>
          <w:ilvl w:val="0"/>
          <w:numId w:val="1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Read and understand the constitution/governing document</w:t>
      </w:r>
    </w:p>
    <w:p w:rsidR="00E23462" w:rsidRPr="002946A7" w:rsidRDefault="00E23462" w:rsidP="00E23462">
      <w:pPr>
        <w:numPr>
          <w:ilvl w:val="0"/>
          <w:numId w:val="1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Act at all times in the interest of the beneficiaries</w:t>
      </w:r>
    </w:p>
    <w:p w:rsidR="00E23462" w:rsidRPr="002946A7" w:rsidRDefault="00E23462" w:rsidP="00E23462">
      <w:pPr>
        <w:numPr>
          <w:ilvl w:val="0"/>
          <w:numId w:val="1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Understand the legal responsibilities of the Board of Trustees</w:t>
      </w:r>
    </w:p>
    <w:p w:rsidR="00E23462" w:rsidRPr="002946A7" w:rsidRDefault="00E23462" w:rsidP="00E23462">
      <w:pPr>
        <w:numPr>
          <w:ilvl w:val="0"/>
          <w:numId w:val="1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Ensure the charity acts within the law; as an employer, in respect of equal opportunities, meeting health and safety requirements, as a charity, and so on</w:t>
      </w:r>
    </w:p>
    <w:p w:rsidR="00E23462" w:rsidRPr="002946A7" w:rsidRDefault="00E23462" w:rsidP="00E23462">
      <w:pPr>
        <w:numPr>
          <w:ilvl w:val="0"/>
          <w:numId w:val="1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Ensure that all money and assets are prudently managed and used in pursuit of the objectives of the charity</w:t>
      </w:r>
    </w:p>
    <w:p w:rsidR="00E23462" w:rsidRPr="002946A7" w:rsidRDefault="00E23462" w:rsidP="00E23462">
      <w:pPr>
        <w:numPr>
          <w:ilvl w:val="0"/>
          <w:numId w:val="1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Make sure that money is spent on the purposes for which it was given</w:t>
      </w:r>
    </w:p>
    <w:p w:rsidR="00E23462" w:rsidRPr="002946A7" w:rsidRDefault="00E23462" w:rsidP="00E23462">
      <w:pPr>
        <w:numPr>
          <w:ilvl w:val="0"/>
          <w:numId w:val="1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Ensure that the organisation accounts for its activities to its funders, the Charity Commissioners, its beneficiaries and others as required</w:t>
      </w:r>
    </w:p>
    <w:p w:rsidR="00E23462" w:rsidRPr="002946A7" w:rsidRDefault="00E23462" w:rsidP="00E23462">
      <w:pPr>
        <w:numPr>
          <w:ilvl w:val="0"/>
          <w:numId w:val="1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Work jointly with other trustees</w:t>
      </w:r>
    </w:p>
    <w:p w:rsidR="00E23462" w:rsidRPr="002946A7" w:rsidRDefault="00E23462" w:rsidP="00E23462">
      <w:pPr>
        <w:numPr>
          <w:ilvl w:val="0"/>
          <w:numId w:val="1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Ensure that the charity manages its affairs reasonably and properly</w:t>
      </w:r>
    </w:p>
    <w:p w:rsidR="00E23462" w:rsidRPr="002946A7" w:rsidRDefault="00E23462" w:rsidP="00E23462">
      <w:pPr>
        <w:numPr>
          <w:ilvl w:val="0"/>
          <w:numId w:val="1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Work in the interest of the charity, and not for personal gain.</w:t>
      </w:r>
    </w:p>
    <w:p w:rsidR="00E23462" w:rsidRPr="002946A7" w:rsidRDefault="00E23462" w:rsidP="00E23462">
      <w:pPr>
        <w:numPr>
          <w:ilvl w:val="0"/>
          <w:numId w:val="1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Ensure that the Board of Trustees takes proper professional advice on matters in which it does not have competence.</w:t>
      </w:r>
    </w:p>
    <w:p w:rsidR="00E23462" w:rsidRPr="002946A7" w:rsidRDefault="00E23462" w:rsidP="00E23462">
      <w:pPr>
        <w:spacing w:before="120" w:after="120" w:line="300" w:lineRule="atLeast"/>
        <w:rPr>
          <w:rFonts w:ascii="Rubik" w:hAnsi="Rubik" w:cs="Rubik"/>
          <w:color w:val="000000"/>
          <w:szCs w:val="20"/>
        </w:rPr>
      </w:pPr>
    </w:p>
    <w:p w:rsidR="00E23462" w:rsidRPr="002946A7" w:rsidRDefault="00E23462" w:rsidP="00E23462">
      <w:p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Other Duties</w:t>
      </w:r>
    </w:p>
    <w:p w:rsidR="00E23462" w:rsidRPr="002946A7" w:rsidRDefault="00E23462" w:rsidP="00E23462">
      <w:pPr>
        <w:spacing w:before="120" w:after="120" w:line="300" w:lineRule="atLeast"/>
        <w:ind w:left="360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Vision &amp; Direction</w:t>
      </w:r>
    </w:p>
    <w:p w:rsidR="00E23462" w:rsidRPr="002946A7" w:rsidRDefault="00E23462" w:rsidP="00E23462">
      <w:pPr>
        <w:numPr>
          <w:ilvl w:val="0"/>
          <w:numId w:val="2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Understand and be committed to the vision, mission, and values of the charity and ensure that the charity pursues its strategies to deliver against the vision and mission.</w:t>
      </w:r>
    </w:p>
    <w:p w:rsidR="00E23462" w:rsidRPr="002946A7" w:rsidRDefault="00E23462" w:rsidP="00E23462">
      <w:pPr>
        <w:spacing w:before="120" w:after="120" w:line="300" w:lineRule="atLeast"/>
        <w:ind w:left="360"/>
        <w:rPr>
          <w:rFonts w:ascii="Rubik" w:hAnsi="Rubik" w:cs="Rubik"/>
          <w:color w:val="000000"/>
          <w:szCs w:val="20"/>
        </w:rPr>
      </w:pPr>
    </w:p>
    <w:p w:rsidR="00E23462" w:rsidRPr="002946A7" w:rsidRDefault="00E23462" w:rsidP="00E23462">
      <w:pPr>
        <w:spacing w:before="120" w:after="120" w:line="300" w:lineRule="atLeast"/>
        <w:ind w:left="360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Financial Duties</w:t>
      </w:r>
    </w:p>
    <w:p w:rsidR="00E23462" w:rsidRPr="002946A7" w:rsidRDefault="00E23462" w:rsidP="00E23462">
      <w:pPr>
        <w:numPr>
          <w:ilvl w:val="0"/>
          <w:numId w:val="2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Read and understand the financial information provided about the charity and ensure that the finances are sound and properly managed.</w:t>
      </w:r>
    </w:p>
    <w:p w:rsidR="00E23462" w:rsidRPr="002946A7" w:rsidRDefault="00E23462" w:rsidP="00E23462">
      <w:pPr>
        <w:numPr>
          <w:ilvl w:val="0"/>
          <w:numId w:val="2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Ensure that resources are used efficiently and economically</w:t>
      </w:r>
    </w:p>
    <w:p w:rsidR="00E23462" w:rsidRPr="002946A7" w:rsidRDefault="00E23462" w:rsidP="00E23462">
      <w:pPr>
        <w:spacing w:before="120" w:after="120" w:line="300" w:lineRule="atLeast"/>
        <w:ind w:left="360"/>
        <w:rPr>
          <w:rFonts w:ascii="Rubik" w:hAnsi="Rubik" w:cs="Rubik"/>
          <w:color w:val="000000"/>
          <w:szCs w:val="20"/>
        </w:rPr>
      </w:pPr>
    </w:p>
    <w:p w:rsidR="00E23462" w:rsidRPr="002946A7" w:rsidRDefault="00E23462" w:rsidP="00E23462">
      <w:pPr>
        <w:spacing w:before="120" w:after="120" w:line="300" w:lineRule="atLeast"/>
        <w:ind w:left="360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As an Employer</w:t>
      </w:r>
    </w:p>
    <w:p w:rsidR="00E23462" w:rsidRPr="002946A7" w:rsidRDefault="00E23462" w:rsidP="00E23462">
      <w:pPr>
        <w:numPr>
          <w:ilvl w:val="0"/>
          <w:numId w:val="2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Ensure that the charity is a good employer of its paid and voluntary staff</w:t>
      </w:r>
    </w:p>
    <w:p w:rsidR="00E23462" w:rsidRPr="002946A7" w:rsidRDefault="00E23462" w:rsidP="00E23462">
      <w:pPr>
        <w:numPr>
          <w:ilvl w:val="0"/>
          <w:numId w:val="2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Where paid staff are employed, appoint the CEO</w:t>
      </w:r>
    </w:p>
    <w:p w:rsidR="00E23462" w:rsidRPr="002946A7" w:rsidRDefault="00E23462" w:rsidP="00E23462">
      <w:pPr>
        <w:numPr>
          <w:ilvl w:val="0"/>
          <w:numId w:val="2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Supervise and support the CEO</w:t>
      </w:r>
    </w:p>
    <w:p w:rsidR="00E23462" w:rsidRPr="002946A7" w:rsidRDefault="00E23462" w:rsidP="00E23462">
      <w:pPr>
        <w:spacing w:before="120" w:after="120" w:line="300" w:lineRule="atLeast"/>
        <w:ind w:left="360"/>
        <w:rPr>
          <w:rFonts w:ascii="Rubik" w:hAnsi="Rubik" w:cs="Rubik"/>
          <w:color w:val="000000"/>
          <w:szCs w:val="20"/>
        </w:rPr>
      </w:pPr>
    </w:p>
    <w:p w:rsidR="00E23462" w:rsidRPr="002946A7" w:rsidRDefault="00E23462" w:rsidP="00E23462">
      <w:pPr>
        <w:spacing w:before="120" w:after="120" w:line="300" w:lineRule="atLeast"/>
        <w:ind w:left="360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Evaluation</w:t>
      </w:r>
    </w:p>
    <w:p w:rsidR="00E23462" w:rsidRPr="002946A7" w:rsidRDefault="00E23462" w:rsidP="00E23462">
      <w:pPr>
        <w:numPr>
          <w:ilvl w:val="0"/>
          <w:numId w:val="2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Monitor and evaluate the work of the charity on a regular basis</w:t>
      </w:r>
    </w:p>
    <w:p w:rsidR="00E23462" w:rsidRPr="002946A7" w:rsidRDefault="00E23462" w:rsidP="00E23462">
      <w:pPr>
        <w:spacing w:before="120" w:after="120" w:line="300" w:lineRule="atLeast"/>
        <w:ind w:left="360"/>
        <w:rPr>
          <w:rFonts w:ascii="Rubik" w:hAnsi="Rubik" w:cs="Rubik"/>
          <w:color w:val="000000"/>
          <w:szCs w:val="20"/>
        </w:rPr>
      </w:pPr>
    </w:p>
    <w:p w:rsidR="00E23462" w:rsidRPr="002946A7" w:rsidRDefault="00E23462" w:rsidP="00E23462">
      <w:pPr>
        <w:spacing w:before="120" w:after="120" w:line="300" w:lineRule="atLeast"/>
        <w:ind w:left="360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Insurance</w:t>
      </w:r>
    </w:p>
    <w:p w:rsidR="00E23462" w:rsidRPr="002946A7" w:rsidRDefault="00E23462" w:rsidP="00E23462">
      <w:pPr>
        <w:numPr>
          <w:ilvl w:val="0"/>
          <w:numId w:val="2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Make sure that the organisation is properly insured against all reasonable liabilities</w:t>
      </w:r>
    </w:p>
    <w:p w:rsidR="00E23462" w:rsidRPr="002946A7" w:rsidRDefault="00E23462" w:rsidP="00E23462">
      <w:pPr>
        <w:spacing w:before="120" w:after="120" w:line="300" w:lineRule="atLeast"/>
        <w:ind w:left="360"/>
        <w:rPr>
          <w:rFonts w:ascii="Rubik" w:hAnsi="Rubik" w:cs="Rubik"/>
          <w:color w:val="000000"/>
          <w:szCs w:val="20"/>
        </w:rPr>
      </w:pPr>
    </w:p>
    <w:p w:rsidR="00E23462" w:rsidRPr="002946A7" w:rsidRDefault="00E23462" w:rsidP="00E23462">
      <w:pPr>
        <w:spacing w:before="120" w:after="120" w:line="300" w:lineRule="atLeast"/>
        <w:ind w:left="360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Assets</w:t>
      </w:r>
    </w:p>
    <w:p w:rsidR="00E23462" w:rsidRPr="002946A7" w:rsidRDefault="00E23462" w:rsidP="00E23462">
      <w:pPr>
        <w:numPr>
          <w:ilvl w:val="0"/>
          <w:numId w:val="2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Make sure that any premises and equipment are properly looked after</w:t>
      </w:r>
    </w:p>
    <w:p w:rsidR="00E23462" w:rsidRPr="002946A7" w:rsidRDefault="00E23462" w:rsidP="00E23462">
      <w:pPr>
        <w:numPr>
          <w:ilvl w:val="0"/>
          <w:numId w:val="2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Ensure that investments and cash balances are managed properly</w:t>
      </w:r>
    </w:p>
    <w:p w:rsidR="00E23462" w:rsidRPr="002946A7" w:rsidRDefault="00E23462" w:rsidP="00E23462">
      <w:pPr>
        <w:spacing w:before="120" w:after="120" w:line="300" w:lineRule="atLeast"/>
        <w:ind w:left="360"/>
        <w:rPr>
          <w:rFonts w:ascii="Rubik" w:hAnsi="Rubik" w:cs="Rubik"/>
          <w:color w:val="000000"/>
          <w:szCs w:val="20"/>
        </w:rPr>
      </w:pPr>
    </w:p>
    <w:p w:rsidR="00E23462" w:rsidRPr="002946A7" w:rsidRDefault="00E23462" w:rsidP="00E23462">
      <w:pPr>
        <w:spacing w:before="120" w:after="120" w:line="300" w:lineRule="atLeast"/>
        <w:ind w:left="360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Effectiveness</w:t>
      </w:r>
    </w:p>
    <w:p w:rsidR="00E23462" w:rsidRPr="002946A7" w:rsidRDefault="00E23462" w:rsidP="00E23462">
      <w:pPr>
        <w:numPr>
          <w:ilvl w:val="0"/>
          <w:numId w:val="2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Work with the other members of the board to form an effective governing body for the charity</w:t>
      </w:r>
    </w:p>
    <w:p w:rsidR="00E23462" w:rsidRPr="002946A7" w:rsidRDefault="00E23462" w:rsidP="00E23462">
      <w:pPr>
        <w:numPr>
          <w:ilvl w:val="0"/>
          <w:numId w:val="2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Attend meetings and read papers in advance of the meetings</w:t>
      </w:r>
    </w:p>
    <w:p w:rsidR="00E23462" w:rsidRPr="002946A7" w:rsidRDefault="00E23462" w:rsidP="00E23462">
      <w:pPr>
        <w:numPr>
          <w:ilvl w:val="0"/>
          <w:numId w:val="2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Attend sub-committee meetings as appropriate</w:t>
      </w:r>
    </w:p>
    <w:p w:rsidR="00E23462" w:rsidRPr="002946A7" w:rsidRDefault="00E23462" w:rsidP="00E23462">
      <w:pPr>
        <w:numPr>
          <w:ilvl w:val="0"/>
          <w:numId w:val="2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Participate in other tasks as they arise from time to time</w:t>
      </w:r>
    </w:p>
    <w:p w:rsidR="000915D1" w:rsidRPr="002946A7" w:rsidRDefault="00E23462" w:rsidP="00E23462">
      <w:pPr>
        <w:numPr>
          <w:ilvl w:val="0"/>
          <w:numId w:val="2"/>
        </w:numPr>
        <w:spacing w:before="120" w:after="120" w:line="300" w:lineRule="atLeast"/>
        <w:rPr>
          <w:rFonts w:ascii="Rubik" w:hAnsi="Rubik" w:cs="Rubik"/>
          <w:color w:val="000000"/>
          <w:szCs w:val="20"/>
        </w:rPr>
      </w:pPr>
      <w:r w:rsidRPr="002946A7">
        <w:rPr>
          <w:rFonts w:ascii="Rubik" w:hAnsi="Rubik" w:cs="Rubik"/>
          <w:color w:val="000000"/>
          <w:szCs w:val="20"/>
        </w:rPr>
        <w:t>Stay informed about the activities of the charity and wider issues, which affect its work</w:t>
      </w:r>
    </w:p>
    <w:sectPr w:rsidR="000915D1" w:rsidRPr="002946A7" w:rsidSect="00E23462">
      <w:headerReference w:type="default" r:id="rId7"/>
      <w:pgSz w:w="11906" w:h="16838"/>
      <w:pgMar w:top="2127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62" w:rsidRDefault="00E23462" w:rsidP="00E23462">
      <w:r>
        <w:separator/>
      </w:r>
    </w:p>
  </w:endnote>
  <w:endnote w:type="continuationSeparator" w:id="0">
    <w:p w:rsidR="00E23462" w:rsidRDefault="00E23462" w:rsidP="00E2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62" w:rsidRDefault="00E23462" w:rsidP="00E23462">
      <w:r>
        <w:separator/>
      </w:r>
    </w:p>
  </w:footnote>
  <w:footnote w:type="continuationSeparator" w:id="0">
    <w:p w:rsidR="00E23462" w:rsidRDefault="00E23462" w:rsidP="00E23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62" w:rsidRDefault="002946A7">
    <w:pPr>
      <w:pStyle w:val="Header"/>
    </w:pPr>
    <w:r>
      <w:rPr>
        <w:noProof/>
      </w:rPr>
      <w:drawing>
        <wp:inline distT="0" distB="0" distL="0" distR="0">
          <wp:extent cx="1943100" cy="11842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e-symbol-auber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352" cy="119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857"/>
    <w:multiLevelType w:val="hybridMultilevel"/>
    <w:tmpl w:val="31F4AB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4E6F50"/>
    <w:multiLevelType w:val="hybridMultilevel"/>
    <w:tmpl w:val="41408A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62"/>
    <w:rsid w:val="000915D1"/>
    <w:rsid w:val="002946A7"/>
    <w:rsid w:val="00E2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672002-B8BA-4824-8B5A-C3C7405E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6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462"/>
    <w:rPr>
      <w:rFonts w:ascii="Verdana" w:eastAsia="Times New Roman" w:hAnsi="Verdan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23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462"/>
    <w:rPr>
      <w:rFonts w:ascii="Verdana" w:eastAsia="Times New Roman" w:hAnsi="Verdana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Greenwood</dc:creator>
  <cp:keywords/>
  <dc:description/>
  <cp:lastModifiedBy>Phil Greenwood</cp:lastModifiedBy>
  <cp:revision>2</cp:revision>
  <dcterms:created xsi:type="dcterms:W3CDTF">2019-07-10T11:29:00Z</dcterms:created>
  <dcterms:modified xsi:type="dcterms:W3CDTF">2023-06-30T12:20:00Z</dcterms:modified>
</cp:coreProperties>
</file>