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0528C" w14:textId="201C334D" w:rsidR="00842C25" w:rsidRPr="00FE06B2" w:rsidRDefault="00670E4A" w:rsidP="000552C7">
      <w:pPr>
        <w:pStyle w:val="Heading2"/>
        <w:jc w:val="center"/>
        <w:rPr>
          <w:rFonts w:asciiTheme="minorHAnsi" w:hAnsiTheme="minorHAnsi" w:cstheme="minorHAnsi"/>
          <w:color w:val="000000" w:themeColor="text1"/>
          <w:sz w:val="20"/>
          <w:szCs w:val="20"/>
        </w:rPr>
      </w:pPr>
      <w:bookmarkStart w:id="0" w:name="_GoBack"/>
      <w:bookmarkEnd w:id="0"/>
      <w:r>
        <w:rPr>
          <w:rFonts w:asciiTheme="minorHAnsi" w:hAnsiTheme="minorHAnsi" w:cstheme="minorHAnsi"/>
          <w:color w:val="000000" w:themeColor="text1"/>
          <w:sz w:val="20"/>
          <w:szCs w:val="20"/>
        </w:rPr>
        <w:t>RESOURCES FOR TEACHING MEDICAL ETHICS</w:t>
      </w:r>
    </w:p>
    <w:p w14:paraId="661BACDC" w14:textId="77777777" w:rsidR="00842C25" w:rsidRPr="00FE06B2" w:rsidRDefault="00842C25" w:rsidP="000552C7">
      <w:pPr>
        <w:jc w:val="center"/>
        <w:rPr>
          <w:rFonts w:asciiTheme="minorHAnsi" w:hAnsiTheme="minorHAnsi" w:cstheme="minorHAnsi"/>
          <w:color w:val="000000" w:themeColor="text1"/>
          <w:sz w:val="20"/>
          <w:szCs w:val="20"/>
        </w:rPr>
      </w:pPr>
    </w:p>
    <w:p w14:paraId="26C2BDE9" w14:textId="77777777" w:rsidR="00F2680B" w:rsidRPr="00F2680B" w:rsidRDefault="00F2680B" w:rsidP="00842C25">
      <w:pPr>
        <w:spacing w:line="276" w:lineRule="auto"/>
        <w:rPr>
          <w:rFonts w:asciiTheme="minorHAnsi" w:hAnsiTheme="minorHAnsi" w:cstheme="minorHAnsi"/>
          <w:b/>
          <w:bCs/>
          <w:color w:val="000000" w:themeColor="text1"/>
          <w:sz w:val="20"/>
          <w:szCs w:val="20"/>
        </w:rPr>
      </w:pPr>
      <w:r w:rsidRPr="00F2680B">
        <w:rPr>
          <w:rFonts w:asciiTheme="minorHAnsi" w:hAnsiTheme="minorHAnsi" w:cstheme="minorHAnsi"/>
          <w:b/>
          <w:bCs/>
          <w:color w:val="000000" w:themeColor="text1"/>
          <w:sz w:val="20"/>
          <w:szCs w:val="20"/>
        </w:rPr>
        <w:t>Teaching methods</w:t>
      </w:r>
    </w:p>
    <w:p w14:paraId="46D0A472" w14:textId="77777777" w:rsidR="00F2680B" w:rsidRDefault="00F2680B" w:rsidP="00842C25">
      <w:pPr>
        <w:spacing w:line="276" w:lineRule="auto"/>
        <w:rPr>
          <w:rFonts w:asciiTheme="minorHAnsi" w:hAnsiTheme="minorHAnsi" w:cstheme="minorHAnsi"/>
          <w:color w:val="000000" w:themeColor="text1"/>
          <w:sz w:val="20"/>
          <w:szCs w:val="20"/>
        </w:rPr>
      </w:pPr>
    </w:p>
    <w:p w14:paraId="78127FD6" w14:textId="17FC5835" w:rsidR="00670E4A" w:rsidRDefault="00842C25" w:rsidP="00842C25">
      <w:pPr>
        <w:spacing w:line="276" w:lineRule="auto"/>
        <w:rPr>
          <w:rFonts w:asciiTheme="minorHAnsi" w:hAnsiTheme="minorHAnsi" w:cstheme="minorHAnsi"/>
          <w:color w:val="000000" w:themeColor="text1"/>
          <w:sz w:val="20"/>
          <w:szCs w:val="20"/>
        </w:rPr>
      </w:pPr>
      <w:r w:rsidRPr="00FE06B2">
        <w:rPr>
          <w:rFonts w:asciiTheme="minorHAnsi" w:hAnsiTheme="minorHAnsi" w:cstheme="minorHAnsi"/>
          <w:color w:val="000000" w:themeColor="text1"/>
          <w:sz w:val="20"/>
          <w:szCs w:val="20"/>
        </w:rPr>
        <w:t>Optimal teaching draws on multiple approaches.  In order to understand the detail of concepts,</w:t>
      </w:r>
      <w:r w:rsidRPr="00FE06B2">
        <w:rPr>
          <w:rFonts w:asciiTheme="minorHAnsi" w:hAnsiTheme="minorHAnsi" w:cstheme="minorHAnsi"/>
          <w:sz w:val="20"/>
          <w:szCs w:val="20"/>
        </w:rPr>
        <w:t xml:space="preserve"> students are likely to need some classroom teaching – such as a lecture or small group/tutorial class, supported by reading resources. This </w:t>
      </w:r>
      <w:r w:rsidR="00670E4A">
        <w:rPr>
          <w:rFonts w:asciiTheme="minorHAnsi" w:hAnsiTheme="minorHAnsi" w:cstheme="minorHAnsi"/>
          <w:sz w:val="20"/>
          <w:szCs w:val="20"/>
        </w:rPr>
        <w:t xml:space="preserve">approach </w:t>
      </w:r>
      <w:r w:rsidRPr="00FE06B2">
        <w:rPr>
          <w:rFonts w:asciiTheme="minorHAnsi" w:hAnsiTheme="minorHAnsi" w:cstheme="minorHAnsi"/>
          <w:sz w:val="20"/>
          <w:szCs w:val="20"/>
        </w:rPr>
        <w:t xml:space="preserve">provides </w:t>
      </w:r>
      <w:r w:rsidR="00670E4A">
        <w:rPr>
          <w:rFonts w:asciiTheme="minorHAnsi" w:hAnsiTheme="minorHAnsi" w:cstheme="minorHAnsi"/>
          <w:sz w:val="20"/>
          <w:szCs w:val="20"/>
        </w:rPr>
        <w:t>an</w:t>
      </w:r>
      <w:r w:rsidRPr="00FE06B2">
        <w:rPr>
          <w:rFonts w:asciiTheme="minorHAnsi" w:hAnsiTheme="minorHAnsi" w:cstheme="minorHAnsi"/>
          <w:sz w:val="20"/>
          <w:szCs w:val="20"/>
        </w:rPr>
        <w:t xml:space="preserve"> opportunity for explanation of complex ideas, for students to ask questions, and to explore how different interpretations of concepts can result in different decisions. </w:t>
      </w:r>
    </w:p>
    <w:p w14:paraId="5ACF14B1" w14:textId="77777777" w:rsidR="00670E4A" w:rsidRDefault="00670E4A" w:rsidP="00842C25">
      <w:pPr>
        <w:spacing w:line="276" w:lineRule="auto"/>
        <w:rPr>
          <w:rFonts w:asciiTheme="minorHAnsi" w:hAnsiTheme="minorHAnsi" w:cstheme="minorHAnsi"/>
          <w:color w:val="000000" w:themeColor="text1"/>
          <w:sz w:val="20"/>
          <w:szCs w:val="20"/>
        </w:rPr>
      </w:pPr>
    </w:p>
    <w:p w14:paraId="2F42F981" w14:textId="1CEBC7F2" w:rsidR="00842C25" w:rsidRPr="000552C7" w:rsidRDefault="00842C25" w:rsidP="00842C25">
      <w:pPr>
        <w:spacing w:line="276" w:lineRule="auto"/>
        <w:rPr>
          <w:rFonts w:asciiTheme="minorHAnsi" w:hAnsiTheme="minorHAnsi" w:cstheme="minorHAnsi"/>
          <w:color w:val="000000" w:themeColor="text1"/>
          <w:sz w:val="20"/>
          <w:szCs w:val="20"/>
        </w:rPr>
      </w:pPr>
      <w:r w:rsidRPr="00FE06B2">
        <w:rPr>
          <w:rFonts w:asciiTheme="minorHAnsi" w:hAnsiTheme="minorHAnsi" w:cstheme="minorHAnsi"/>
          <w:sz w:val="20"/>
          <w:szCs w:val="20"/>
        </w:rPr>
        <w:t xml:space="preserve">It is then important to build on this by utilising cases where students can apply their learning to solve ethical dilemmas in a safe setting.  </w:t>
      </w:r>
      <w:r w:rsidR="00670E4A">
        <w:rPr>
          <w:rFonts w:asciiTheme="minorHAnsi" w:hAnsiTheme="minorHAnsi" w:cstheme="minorHAnsi"/>
          <w:sz w:val="20"/>
          <w:szCs w:val="20"/>
        </w:rPr>
        <w:t xml:space="preserve"> </w:t>
      </w:r>
      <w:r w:rsidR="00670E4A" w:rsidRPr="00FE06B2">
        <w:rPr>
          <w:rFonts w:asciiTheme="minorHAnsi" w:hAnsiTheme="minorHAnsi" w:cstheme="minorHAnsi"/>
          <w:sz w:val="20"/>
          <w:szCs w:val="20"/>
        </w:rPr>
        <w:t xml:space="preserve">Case studies are a useful stepping-stone to help students apply their teaching to the clinical context before they need to do this in real life situations.  </w:t>
      </w:r>
      <w:r w:rsidRPr="00FE06B2">
        <w:rPr>
          <w:rFonts w:asciiTheme="minorHAnsi" w:hAnsiTheme="minorHAnsi" w:cstheme="minorHAnsi"/>
          <w:sz w:val="20"/>
          <w:szCs w:val="20"/>
        </w:rPr>
        <w:t>Use of cases can also be an effective way to illustrate how concepts or areas of the curriculum are often interrelated; e.g., professionalism and end of life</w:t>
      </w:r>
      <w:r w:rsidR="00670E4A">
        <w:rPr>
          <w:rFonts w:asciiTheme="minorHAnsi" w:hAnsiTheme="minorHAnsi" w:cstheme="minorHAnsi"/>
          <w:sz w:val="20"/>
          <w:szCs w:val="20"/>
        </w:rPr>
        <w:t>, confidentiality and genetics, and capacity issues, mental health and justice</w:t>
      </w:r>
      <w:r w:rsidRPr="00FE06B2">
        <w:rPr>
          <w:rFonts w:asciiTheme="minorHAnsi" w:hAnsiTheme="minorHAnsi" w:cstheme="minorHAnsi"/>
          <w:sz w:val="20"/>
          <w:szCs w:val="20"/>
        </w:rPr>
        <w:t>.  An</w:t>
      </w:r>
      <w:r w:rsidR="000552C7">
        <w:rPr>
          <w:rFonts w:asciiTheme="minorHAnsi" w:hAnsiTheme="minorHAnsi" w:cstheme="minorHAnsi"/>
          <w:sz w:val="20"/>
          <w:szCs w:val="20"/>
        </w:rPr>
        <w:t>other</w:t>
      </w:r>
      <w:r w:rsidRPr="00FE06B2">
        <w:rPr>
          <w:rFonts w:asciiTheme="minorHAnsi" w:hAnsiTheme="minorHAnsi" w:cstheme="minorHAnsi"/>
          <w:sz w:val="20"/>
          <w:szCs w:val="20"/>
        </w:rPr>
        <w:t xml:space="preserve"> innovative way to improve ethical decision-making is by incorporating ethics and law competencies as part of the portfolio of evidence that the students have to put together during their undergraduate years.  </w:t>
      </w:r>
    </w:p>
    <w:p w14:paraId="376A8C8D" w14:textId="77777777" w:rsidR="00842C25" w:rsidRPr="00FE06B2" w:rsidRDefault="00842C25" w:rsidP="00842C25">
      <w:pPr>
        <w:spacing w:line="276" w:lineRule="auto"/>
        <w:rPr>
          <w:rFonts w:asciiTheme="minorHAnsi" w:hAnsiTheme="minorHAnsi" w:cstheme="minorHAnsi"/>
          <w:sz w:val="20"/>
          <w:szCs w:val="20"/>
        </w:rPr>
      </w:pPr>
    </w:p>
    <w:p w14:paraId="0D9ECA07" w14:textId="28E0215A" w:rsidR="00842C25" w:rsidRPr="00FE06B2" w:rsidRDefault="00842C25" w:rsidP="00842C25">
      <w:pPr>
        <w:jc w:val="both"/>
        <w:rPr>
          <w:rFonts w:asciiTheme="minorHAnsi" w:hAnsiTheme="minorHAnsi" w:cstheme="minorHAnsi"/>
          <w:sz w:val="20"/>
          <w:szCs w:val="20"/>
        </w:rPr>
      </w:pPr>
      <w:r w:rsidRPr="00FE06B2">
        <w:rPr>
          <w:rFonts w:asciiTheme="minorHAnsi" w:hAnsiTheme="minorHAnsi" w:cstheme="minorHAnsi"/>
          <w:sz w:val="20"/>
          <w:szCs w:val="20"/>
        </w:rPr>
        <w:t>You may find the following papers useful</w:t>
      </w:r>
      <w:r w:rsidR="00670E4A">
        <w:rPr>
          <w:rFonts w:asciiTheme="minorHAnsi" w:hAnsiTheme="minorHAnsi" w:cstheme="minorHAnsi"/>
          <w:sz w:val="20"/>
          <w:szCs w:val="20"/>
        </w:rPr>
        <w:t>:</w:t>
      </w:r>
    </w:p>
    <w:p w14:paraId="1FB928FD" w14:textId="77777777" w:rsidR="00842C25" w:rsidRPr="00FE06B2" w:rsidRDefault="00842C25" w:rsidP="00842C25">
      <w:pPr>
        <w:jc w:val="both"/>
        <w:rPr>
          <w:rFonts w:asciiTheme="minorHAnsi" w:hAnsiTheme="minorHAnsi" w:cstheme="minorHAnsi"/>
          <w:sz w:val="20"/>
          <w:szCs w:val="20"/>
        </w:rPr>
      </w:pPr>
    </w:p>
    <w:p w14:paraId="1D663F77" w14:textId="77777777" w:rsidR="00842C25" w:rsidRPr="00FE06B2" w:rsidRDefault="00842C25" w:rsidP="00842C25">
      <w:pPr>
        <w:jc w:val="both"/>
        <w:rPr>
          <w:rFonts w:asciiTheme="minorHAnsi" w:hAnsiTheme="minorHAnsi" w:cstheme="minorHAnsi"/>
          <w:sz w:val="20"/>
          <w:szCs w:val="20"/>
        </w:rPr>
      </w:pPr>
      <w:r w:rsidRPr="00FE06B2">
        <w:rPr>
          <w:rFonts w:asciiTheme="minorHAnsi" w:hAnsiTheme="minorHAnsi" w:cstheme="minorHAnsi"/>
          <w:sz w:val="20"/>
          <w:szCs w:val="20"/>
        </w:rPr>
        <w:t xml:space="preserve">Mills, S., Bryden, D.C. (2010). A practical approach to teaching medical ethics. J Med Ethics, 36 (1), 50-4. </w:t>
      </w:r>
    </w:p>
    <w:p w14:paraId="769D6BA1" w14:textId="77777777" w:rsidR="00842C25" w:rsidRPr="00FE06B2" w:rsidRDefault="00842C25" w:rsidP="00842C25">
      <w:pPr>
        <w:spacing w:line="276" w:lineRule="auto"/>
        <w:rPr>
          <w:rFonts w:asciiTheme="minorHAnsi" w:hAnsiTheme="minorHAnsi" w:cstheme="minorHAnsi"/>
          <w:color w:val="000000"/>
          <w:sz w:val="20"/>
          <w:szCs w:val="20"/>
        </w:rPr>
      </w:pPr>
    </w:p>
    <w:p w14:paraId="1036F08F" w14:textId="77777777" w:rsidR="00842C25" w:rsidRPr="00FE06B2" w:rsidRDefault="00842C25" w:rsidP="00842C25">
      <w:pPr>
        <w:spacing w:line="276" w:lineRule="auto"/>
        <w:rPr>
          <w:rFonts w:asciiTheme="minorHAnsi" w:hAnsiTheme="minorHAnsi" w:cstheme="minorHAnsi"/>
          <w:sz w:val="20"/>
          <w:szCs w:val="20"/>
        </w:rPr>
      </w:pPr>
      <w:r w:rsidRPr="00FE06B2">
        <w:rPr>
          <w:rFonts w:asciiTheme="minorHAnsi" w:hAnsiTheme="minorHAnsi" w:cstheme="minorHAnsi"/>
          <w:sz w:val="20"/>
          <w:szCs w:val="20"/>
        </w:rPr>
        <w:t xml:space="preserve">Holden, B.J., Burnett, A.H., Vivekananda-Schmidt, P. (2014). Case-based learning: integrating medical ethics and law into clinical practice. </w:t>
      </w:r>
      <w:proofErr w:type="spellStart"/>
      <w:r w:rsidRPr="00FE06B2">
        <w:rPr>
          <w:rFonts w:asciiTheme="minorHAnsi" w:hAnsiTheme="minorHAnsi" w:cstheme="minorHAnsi"/>
          <w:sz w:val="20"/>
          <w:szCs w:val="20"/>
        </w:rPr>
        <w:t>Educ</w:t>
      </w:r>
      <w:proofErr w:type="spellEnd"/>
      <w:r w:rsidRPr="00FE06B2">
        <w:rPr>
          <w:rFonts w:asciiTheme="minorHAnsi" w:hAnsiTheme="minorHAnsi" w:cstheme="minorHAnsi"/>
          <w:sz w:val="20"/>
          <w:szCs w:val="20"/>
        </w:rPr>
        <w:t xml:space="preserve"> Prim Care, 25(5), 283-7. </w:t>
      </w:r>
    </w:p>
    <w:p w14:paraId="26B7552C" w14:textId="77777777" w:rsidR="00842C25" w:rsidRPr="00FE06B2" w:rsidRDefault="00842C25" w:rsidP="00842C25">
      <w:pPr>
        <w:spacing w:line="276" w:lineRule="auto"/>
        <w:rPr>
          <w:rFonts w:asciiTheme="minorHAnsi" w:hAnsiTheme="minorHAnsi" w:cstheme="minorHAnsi"/>
          <w:sz w:val="20"/>
          <w:szCs w:val="20"/>
        </w:rPr>
      </w:pPr>
    </w:p>
    <w:p w14:paraId="624B4DCD" w14:textId="77777777" w:rsidR="00842C25" w:rsidRPr="00FE06B2" w:rsidRDefault="00842C25" w:rsidP="00842C25">
      <w:pPr>
        <w:spacing w:line="276" w:lineRule="auto"/>
        <w:rPr>
          <w:rFonts w:asciiTheme="minorHAnsi" w:hAnsiTheme="minorHAnsi" w:cstheme="minorHAnsi"/>
          <w:sz w:val="20"/>
          <w:szCs w:val="20"/>
        </w:rPr>
      </w:pPr>
      <w:r w:rsidRPr="00FE06B2">
        <w:rPr>
          <w:rFonts w:asciiTheme="minorHAnsi" w:hAnsiTheme="minorHAnsi" w:cstheme="minorHAnsi"/>
          <w:sz w:val="20"/>
          <w:szCs w:val="20"/>
        </w:rPr>
        <w:t xml:space="preserve">Spencer, J.A., Jordan, R.K. (1999). Learner centred approaches in medical education. BMJ, 318, 1280-3. </w:t>
      </w:r>
    </w:p>
    <w:p w14:paraId="7DF4A2FC" w14:textId="77777777" w:rsidR="00842C25" w:rsidRPr="00FE06B2" w:rsidRDefault="00842C25" w:rsidP="00842C25">
      <w:pPr>
        <w:spacing w:line="276" w:lineRule="auto"/>
        <w:rPr>
          <w:rFonts w:asciiTheme="minorHAnsi" w:hAnsiTheme="minorHAnsi" w:cstheme="minorHAnsi"/>
          <w:sz w:val="20"/>
          <w:szCs w:val="20"/>
        </w:rPr>
      </w:pPr>
    </w:p>
    <w:p w14:paraId="446C8E51" w14:textId="77777777" w:rsidR="00842C25" w:rsidRPr="00FE06B2" w:rsidRDefault="00842C25" w:rsidP="00842C25">
      <w:pPr>
        <w:rPr>
          <w:rFonts w:asciiTheme="minorHAnsi" w:hAnsiTheme="minorHAnsi" w:cstheme="minorHAnsi"/>
          <w:b/>
          <w:color w:val="000000" w:themeColor="text1"/>
          <w:sz w:val="20"/>
          <w:szCs w:val="20"/>
        </w:rPr>
      </w:pPr>
      <w:r w:rsidRPr="00FE06B2">
        <w:rPr>
          <w:rFonts w:asciiTheme="minorHAnsi" w:hAnsiTheme="minorHAnsi" w:cstheme="minorHAnsi"/>
          <w:b/>
          <w:color w:val="000000" w:themeColor="text1"/>
          <w:sz w:val="20"/>
          <w:szCs w:val="20"/>
        </w:rPr>
        <w:t>Assessment</w:t>
      </w:r>
    </w:p>
    <w:p w14:paraId="139CA420" w14:textId="77777777" w:rsidR="00842C25" w:rsidRPr="00FE06B2" w:rsidRDefault="00842C25" w:rsidP="00842C25">
      <w:pPr>
        <w:rPr>
          <w:rFonts w:asciiTheme="minorHAnsi" w:hAnsiTheme="minorHAnsi" w:cstheme="minorHAnsi"/>
          <w:color w:val="000000" w:themeColor="text1"/>
          <w:sz w:val="20"/>
          <w:szCs w:val="20"/>
        </w:rPr>
      </w:pPr>
    </w:p>
    <w:p w14:paraId="7B512C46" w14:textId="66E75833" w:rsidR="00842C25" w:rsidRPr="00FE06B2" w:rsidRDefault="00842C25" w:rsidP="00842C25">
      <w:pPr>
        <w:rPr>
          <w:rFonts w:asciiTheme="minorHAnsi" w:hAnsiTheme="minorHAnsi" w:cstheme="minorHAnsi"/>
          <w:color w:val="000000" w:themeColor="text1"/>
          <w:sz w:val="20"/>
          <w:szCs w:val="20"/>
        </w:rPr>
      </w:pPr>
      <w:r w:rsidRPr="00FE06B2">
        <w:rPr>
          <w:rFonts w:asciiTheme="minorHAnsi" w:hAnsiTheme="minorHAnsi" w:cstheme="minorHAnsi"/>
          <w:color w:val="000000" w:themeColor="text1"/>
          <w:sz w:val="20"/>
          <w:szCs w:val="20"/>
        </w:rPr>
        <w:t xml:space="preserve">Evidence of good practice in assessment within healthcare education recommends using multiple assessment methods over multiple time points. </w:t>
      </w:r>
      <w:r w:rsidR="00E06BF7" w:rsidRPr="00FE06B2">
        <w:rPr>
          <w:rFonts w:asciiTheme="minorHAnsi" w:hAnsiTheme="minorHAnsi" w:cstheme="minorHAnsi"/>
          <w:color w:val="000000" w:themeColor="text1"/>
          <w:sz w:val="20"/>
          <w:szCs w:val="20"/>
        </w:rPr>
        <w:t xml:space="preserve"> </w:t>
      </w:r>
      <w:r w:rsidRPr="00FE06B2">
        <w:rPr>
          <w:rFonts w:asciiTheme="minorHAnsi" w:hAnsiTheme="minorHAnsi" w:cstheme="minorHAnsi"/>
          <w:color w:val="000000" w:themeColor="text1"/>
          <w:sz w:val="20"/>
          <w:szCs w:val="20"/>
        </w:rPr>
        <w:t xml:space="preserve">It is worth thinking about how your assessment strategy addresses the four steps of the Millers pyramid set out in the diagram below. </w:t>
      </w:r>
    </w:p>
    <w:p w14:paraId="741C72A9" w14:textId="77777777" w:rsidR="00842C25" w:rsidRPr="00FE06B2" w:rsidRDefault="00842C25" w:rsidP="00842C25">
      <w:pPr>
        <w:rPr>
          <w:rFonts w:asciiTheme="minorHAnsi" w:hAnsiTheme="minorHAnsi" w:cstheme="minorHAnsi"/>
          <w:color w:val="000000" w:themeColor="text1"/>
          <w:sz w:val="20"/>
          <w:szCs w:val="20"/>
        </w:rPr>
      </w:pPr>
    </w:p>
    <w:p w14:paraId="0267B9B4" w14:textId="77777777" w:rsidR="00842C25" w:rsidRPr="00FE06B2" w:rsidRDefault="00842C25" w:rsidP="00842C25">
      <w:pPr>
        <w:rPr>
          <w:rFonts w:asciiTheme="minorHAnsi" w:hAnsiTheme="minorHAnsi" w:cstheme="minorHAnsi"/>
          <w:sz w:val="20"/>
          <w:szCs w:val="20"/>
        </w:rPr>
      </w:pPr>
      <w:r w:rsidRPr="00FE06B2">
        <w:rPr>
          <w:rFonts w:asciiTheme="minorHAnsi" w:hAnsiTheme="minorHAnsi" w:cstheme="minorHAnsi"/>
          <w:noProof/>
          <w:sz w:val="20"/>
          <w:szCs w:val="20"/>
        </w:rPr>
        <w:drawing>
          <wp:inline distT="0" distB="0" distL="0" distR="0" wp14:anchorId="0EA44EA8" wp14:editId="506A342F">
            <wp:extent cx="3747506" cy="1753268"/>
            <wp:effectExtent l="0" t="0" r="0" b="0"/>
            <wp:docPr id="1" name="Picture 1" descr="Miller's Pyramid for Assessing clinical competence |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ler's Pyramid for Assessing clinical competence | Download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0624" cy="1768762"/>
                    </a:xfrm>
                    <a:prstGeom prst="rect">
                      <a:avLst/>
                    </a:prstGeom>
                    <a:noFill/>
                    <a:ln>
                      <a:noFill/>
                    </a:ln>
                  </pic:spPr>
                </pic:pic>
              </a:graphicData>
            </a:graphic>
          </wp:inline>
        </w:drawing>
      </w:r>
    </w:p>
    <w:p w14:paraId="604BEF0D" w14:textId="77777777" w:rsidR="00842C25" w:rsidRPr="00FE06B2" w:rsidRDefault="00842C25" w:rsidP="00842C25">
      <w:pPr>
        <w:rPr>
          <w:rFonts w:asciiTheme="minorHAnsi" w:hAnsiTheme="minorHAnsi" w:cstheme="minorHAnsi"/>
          <w:color w:val="000000" w:themeColor="text1"/>
          <w:sz w:val="20"/>
          <w:szCs w:val="20"/>
        </w:rPr>
      </w:pPr>
    </w:p>
    <w:p w14:paraId="5A01B0EB" w14:textId="3D1617B9" w:rsidR="00842C25" w:rsidRPr="00FE06B2" w:rsidRDefault="00842C25" w:rsidP="00842C25">
      <w:pPr>
        <w:rPr>
          <w:rFonts w:asciiTheme="minorHAnsi" w:hAnsiTheme="minorHAnsi" w:cstheme="minorHAnsi"/>
          <w:color w:val="000000" w:themeColor="text1"/>
          <w:sz w:val="20"/>
          <w:szCs w:val="20"/>
        </w:rPr>
      </w:pPr>
      <w:r w:rsidRPr="00FE06B2">
        <w:rPr>
          <w:rFonts w:asciiTheme="minorHAnsi" w:hAnsiTheme="minorHAnsi" w:cstheme="minorHAnsi"/>
          <w:color w:val="000000" w:themeColor="text1"/>
          <w:sz w:val="20"/>
          <w:szCs w:val="20"/>
        </w:rPr>
        <w:t xml:space="preserve">Both formative and summative assessments have their purpose. </w:t>
      </w:r>
      <w:r w:rsidR="00E06BF7" w:rsidRPr="00FE06B2">
        <w:rPr>
          <w:rFonts w:asciiTheme="minorHAnsi" w:hAnsiTheme="minorHAnsi" w:cstheme="minorHAnsi"/>
          <w:color w:val="000000" w:themeColor="text1"/>
          <w:sz w:val="20"/>
          <w:szCs w:val="20"/>
        </w:rPr>
        <w:t xml:space="preserve"> </w:t>
      </w:r>
      <w:r w:rsidRPr="00FE06B2">
        <w:rPr>
          <w:rFonts w:asciiTheme="minorHAnsi" w:hAnsiTheme="minorHAnsi" w:cstheme="minorHAnsi"/>
          <w:color w:val="000000" w:themeColor="text1"/>
          <w:sz w:val="20"/>
          <w:szCs w:val="20"/>
        </w:rPr>
        <w:t xml:space="preserve">Formative assessments can be a good way of engaging the students and checking their understanding. Example of formative assessments include structured case analysis, group presentations and creation of a poster. </w:t>
      </w:r>
      <w:r w:rsidR="00E06BF7" w:rsidRPr="00FE06B2">
        <w:rPr>
          <w:rFonts w:asciiTheme="minorHAnsi" w:hAnsiTheme="minorHAnsi" w:cstheme="minorHAnsi"/>
          <w:color w:val="000000" w:themeColor="text1"/>
          <w:sz w:val="20"/>
          <w:szCs w:val="20"/>
        </w:rPr>
        <w:t xml:space="preserve"> </w:t>
      </w:r>
      <w:r w:rsidRPr="00FE06B2">
        <w:rPr>
          <w:rFonts w:asciiTheme="minorHAnsi" w:hAnsiTheme="minorHAnsi" w:cstheme="minorHAnsi"/>
          <w:color w:val="000000" w:themeColor="text1"/>
          <w:sz w:val="20"/>
          <w:szCs w:val="20"/>
        </w:rPr>
        <w:t xml:space="preserve">The implementation of these can be structured in ways that allow students to learn from each other; for example, through peer-marking or group assessment.   </w:t>
      </w:r>
    </w:p>
    <w:p w14:paraId="0DED1452" w14:textId="77777777" w:rsidR="00842C25" w:rsidRPr="00FE06B2" w:rsidRDefault="00842C25" w:rsidP="00842C25">
      <w:pPr>
        <w:rPr>
          <w:rFonts w:asciiTheme="minorHAnsi" w:hAnsiTheme="minorHAnsi" w:cstheme="minorHAnsi"/>
          <w:b/>
          <w:color w:val="000000" w:themeColor="text1"/>
          <w:sz w:val="20"/>
          <w:szCs w:val="20"/>
        </w:rPr>
      </w:pPr>
    </w:p>
    <w:p w14:paraId="5B31454F" w14:textId="6E8C2189" w:rsidR="00842C25" w:rsidRPr="00FE06B2" w:rsidRDefault="00842C25" w:rsidP="00842C25">
      <w:pPr>
        <w:spacing w:line="276" w:lineRule="auto"/>
        <w:rPr>
          <w:rFonts w:asciiTheme="minorHAnsi" w:hAnsiTheme="minorHAnsi" w:cstheme="minorHAnsi"/>
          <w:sz w:val="20"/>
          <w:szCs w:val="20"/>
        </w:rPr>
      </w:pPr>
      <w:r w:rsidRPr="00FE06B2">
        <w:rPr>
          <w:rFonts w:asciiTheme="minorHAnsi" w:hAnsiTheme="minorHAnsi" w:cstheme="minorHAnsi"/>
          <w:sz w:val="20"/>
          <w:szCs w:val="20"/>
        </w:rPr>
        <w:t xml:space="preserve">When it comes to assessing knowledge of the law or professional guidelines, common written methods include Single Best Answer Questions (SBA) or Short Answer Questions (SAQ). </w:t>
      </w:r>
      <w:r w:rsidR="00E06BF7" w:rsidRPr="00FE06B2">
        <w:rPr>
          <w:rFonts w:asciiTheme="minorHAnsi" w:hAnsiTheme="minorHAnsi" w:cstheme="minorHAnsi"/>
          <w:sz w:val="20"/>
          <w:szCs w:val="20"/>
        </w:rPr>
        <w:t xml:space="preserve"> </w:t>
      </w:r>
      <w:r w:rsidRPr="00FE06B2">
        <w:rPr>
          <w:rFonts w:asciiTheme="minorHAnsi" w:hAnsiTheme="minorHAnsi" w:cstheme="minorHAnsi"/>
          <w:sz w:val="20"/>
          <w:szCs w:val="20"/>
        </w:rPr>
        <w:t xml:space="preserve">For example, using a clinical scenario, you can test whether a student knows which of a selection of options would be most in accordance with law or </w:t>
      </w:r>
      <w:r w:rsidRPr="00FE06B2">
        <w:rPr>
          <w:rFonts w:asciiTheme="minorHAnsi" w:hAnsiTheme="minorHAnsi" w:cstheme="minorHAnsi"/>
          <w:sz w:val="20"/>
          <w:szCs w:val="20"/>
        </w:rPr>
        <w:lastRenderedPageBreak/>
        <w:t xml:space="preserve">professional guidelines. </w:t>
      </w:r>
      <w:r w:rsidR="00E06BF7" w:rsidRPr="00FE06B2">
        <w:rPr>
          <w:rFonts w:asciiTheme="minorHAnsi" w:hAnsiTheme="minorHAnsi" w:cstheme="minorHAnsi"/>
          <w:sz w:val="20"/>
          <w:szCs w:val="20"/>
        </w:rPr>
        <w:t xml:space="preserve"> </w:t>
      </w:r>
      <w:r w:rsidRPr="00FE06B2">
        <w:rPr>
          <w:rFonts w:asciiTheme="minorHAnsi" w:hAnsiTheme="minorHAnsi" w:cstheme="minorHAnsi"/>
          <w:sz w:val="20"/>
          <w:szCs w:val="20"/>
        </w:rPr>
        <w:t xml:space="preserve">An SAQ could provide the opportunity to test whether a student is able to apply relevant statutes or ethics for a list of questions that may arise in the clinical decision-making context.  </w:t>
      </w:r>
    </w:p>
    <w:p w14:paraId="0C3CD865" w14:textId="77777777" w:rsidR="00842C25" w:rsidRPr="00FE06B2" w:rsidRDefault="00842C25" w:rsidP="00842C25">
      <w:pPr>
        <w:rPr>
          <w:rFonts w:asciiTheme="minorHAnsi" w:hAnsiTheme="minorHAnsi" w:cstheme="minorHAnsi"/>
          <w:sz w:val="20"/>
          <w:szCs w:val="20"/>
        </w:rPr>
      </w:pPr>
    </w:p>
    <w:p w14:paraId="1546555D" w14:textId="10EF76AA" w:rsidR="00842C25" w:rsidRPr="00FE06B2" w:rsidRDefault="00842C25" w:rsidP="00842C25">
      <w:pPr>
        <w:rPr>
          <w:rFonts w:asciiTheme="minorHAnsi" w:eastAsiaTheme="minorHAnsi" w:hAnsiTheme="minorHAnsi" w:cstheme="minorHAnsi"/>
          <w:color w:val="000000" w:themeColor="text1"/>
          <w:sz w:val="20"/>
          <w:szCs w:val="20"/>
        </w:rPr>
      </w:pPr>
      <w:r w:rsidRPr="00FE06B2">
        <w:rPr>
          <w:rFonts w:asciiTheme="minorHAnsi" w:eastAsiaTheme="minorHAnsi" w:hAnsiTheme="minorHAnsi" w:cstheme="minorHAnsi"/>
          <w:color w:val="000000" w:themeColor="text1"/>
          <w:sz w:val="20"/>
          <w:szCs w:val="20"/>
        </w:rPr>
        <w:t xml:space="preserve">OSCE stations are also commonly used to assess application of ethics and law learning. </w:t>
      </w:r>
      <w:r w:rsidR="00E06BF7" w:rsidRPr="00FE06B2">
        <w:rPr>
          <w:rFonts w:asciiTheme="minorHAnsi" w:eastAsiaTheme="minorHAnsi" w:hAnsiTheme="minorHAnsi" w:cstheme="minorHAnsi"/>
          <w:color w:val="000000" w:themeColor="text1"/>
          <w:sz w:val="20"/>
          <w:szCs w:val="20"/>
        </w:rPr>
        <w:t xml:space="preserve"> </w:t>
      </w:r>
      <w:r w:rsidRPr="00FE06B2">
        <w:rPr>
          <w:rFonts w:asciiTheme="minorHAnsi" w:eastAsiaTheme="minorHAnsi" w:hAnsiTheme="minorHAnsi" w:cstheme="minorHAnsi"/>
          <w:color w:val="000000" w:themeColor="text1"/>
          <w:sz w:val="20"/>
          <w:szCs w:val="20"/>
        </w:rPr>
        <w:t xml:space="preserve">Use of role play might optimise the effectiveness of OSCEs. </w:t>
      </w:r>
    </w:p>
    <w:p w14:paraId="46458CE1" w14:textId="77777777" w:rsidR="00842C25" w:rsidRPr="00FE06B2" w:rsidRDefault="00842C25" w:rsidP="00842C25">
      <w:pPr>
        <w:rPr>
          <w:rFonts w:asciiTheme="minorHAnsi" w:hAnsiTheme="minorHAnsi" w:cstheme="minorHAnsi"/>
          <w:b/>
          <w:color w:val="000000" w:themeColor="text1"/>
          <w:sz w:val="20"/>
          <w:szCs w:val="20"/>
        </w:rPr>
      </w:pPr>
    </w:p>
    <w:p w14:paraId="753A6123" w14:textId="77777777" w:rsidR="00842C25" w:rsidRPr="00FE06B2" w:rsidRDefault="00842C25" w:rsidP="00842C25">
      <w:pPr>
        <w:rPr>
          <w:rFonts w:asciiTheme="minorHAnsi" w:hAnsiTheme="minorHAnsi" w:cstheme="minorHAnsi"/>
          <w:color w:val="000000" w:themeColor="text1"/>
          <w:sz w:val="20"/>
          <w:szCs w:val="20"/>
        </w:rPr>
      </w:pPr>
      <w:r w:rsidRPr="00FE06B2">
        <w:rPr>
          <w:rFonts w:asciiTheme="minorHAnsi" w:hAnsiTheme="minorHAnsi" w:cstheme="minorHAnsi"/>
          <w:color w:val="000000" w:themeColor="text1"/>
          <w:sz w:val="20"/>
          <w:szCs w:val="20"/>
        </w:rPr>
        <w:t xml:space="preserve">You may find the following papers useful in building your understanding of how commonly used assessment processes and best practice in assessment can be adapted to assess Ethics and Law. </w:t>
      </w:r>
    </w:p>
    <w:p w14:paraId="275E303B" w14:textId="77777777" w:rsidR="00842C25" w:rsidRPr="00F2680B" w:rsidRDefault="00842C25" w:rsidP="00842C25">
      <w:pPr>
        <w:pStyle w:val="NormalWeb"/>
        <w:rPr>
          <w:rFonts w:asciiTheme="minorHAnsi" w:hAnsiTheme="minorHAnsi" w:cstheme="minorHAnsi"/>
          <w:iCs/>
          <w:sz w:val="20"/>
          <w:szCs w:val="20"/>
          <w:lang w:eastAsia="en-US"/>
        </w:rPr>
      </w:pPr>
      <w:r w:rsidRPr="00F2680B">
        <w:rPr>
          <w:rFonts w:asciiTheme="minorHAnsi" w:hAnsiTheme="minorHAnsi" w:cstheme="minorHAnsi"/>
          <w:iCs/>
          <w:color w:val="000000" w:themeColor="text1"/>
          <w:sz w:val="20"/>
          <w:szCs w:val="20"/>
        </w:rPr>
        <w:t xml:space="preserve">Epstein, R. (2007).  Assessment in Medical Education, </w:t>
      </w:r>
      <w:r w:rsidRPr="00F2680B">
        <w:rPr>
          <w:rFonts w:asciiTheme="minorHAnsi" w:hAnsiTheme="minorHAnsi" w:cstheme="minorHAnsi"/>
          <w:iCs/>
          <w:sz w:val="20"/>
          <w:szCs w:val="20"/>
          <w:lang w:eastAsia="en-US"/>
        </w:rPr>
        <w:t xml:space="preserve">N </w:t>
      </w:r>
      <w:proofErr w:type="spellStart"/>
      <w:r w:rsidRPr="00F2680B">
        <w:rPr>
          <w:rFonts w:asciiTheme="minorHAnsi" w:hAnsiTheme="minorHAnsi" w:cstheme="minorHAnsi"/>
          <w:iCs/>
          <w:sz w:val="20"/>
          <w:szCs w:val="20"/>
          <w:lang w:eastAsia="en-US"/>
        </w:rPr>
        <w:t>Engl</w:t>
      </w:r>
      <w:proofErr w:type="spellEnd"/>
      <w:r w:rsidRPr="00F2680B">
        <w:rPr>
          <w:rFonts w:asciiTheme="minorHAnsi" w:hAnsiTheme="minorHAnsi" w:cstheme="minorHAnsi"/>
          <w:iCs/>
          <w:sz w:val="20"/>
          <w:szCs w:val="20"/>
          <w:lang w:eastAsia="en-US"/>
        </w:rPr>
        <w:t xml:space="preserve"> J Med 2007</w:t>
      </w:r>
      <w:proofErr w:type="gramStart"/>
      <w:r w:rsidRPr="00F2680B">
        <w:rPr>
          <w:rFonts w:asciiTheme="minorHAnsi" w:hAnsiTheme="minorHAnsi" w:cstheme="minorHAnsi"/>
          <w:iCs/>
          <w:sz w:val="20"/>
          <w:szCs w:val="20"/>
          <w:lang w:eastAsia="en-US"/>
        </w:rPr>
        <w:t>;356:387</w:t>
      </w:r>
      <w:proofErr w:type="gramEnd"/>
      <w:r w:rsidRPr="00F2680B">
        <w:rPr>
          <w:rFonts w:asciiTheme="minorHAnsi" w:hAnsiTheme="minorHAnsi" w:cstheme="minorHAnsi"/>
          <w:iCs/>
          <w:sz w:val="20"/>
          <w:szCs w:val="20"/>
          <w:lang w:eastAsia="en-US"/>
        </w:rPr>
        <w:t xml:space="preserve">-96. </w:t>
      </w:r>
    </w:p>
    <w:p w14:paraId="636CFDD4" w14:textId="77777777" w:rsidR="00842C25" w:rsidRPr="00F2680B" w:rsidRDefault="00842C25" w:rsidP="00842C25">
      <w:pPr>
        <w:rPr>
          <w:rFonts w:asciiTheme="minorHAnsi" w:hAnsiTheme="minorHAnsi" w:cstheme="minorHAnsi"/>
          <w:iCs/>
          <w:color w:val="000000" w:themeColor="text1"/>
          <w:sz w:val="20"/>
          <w:szCs w:val="20"/>
        </w:rPr>
      </w:pPr>
      <w:r w:rsidRPr="00F2680B">
        <w:rPr>
          <w:rFonts w:asciiTheme="minorHAnsi" w:hAnsiTheme="minorHAnsi" w:cstheme="minorHAnsi"/>
          <w:iCs/>
          <w:color w:val="000000" w:themeColor="text1"/>
          <w:sz w:val="20"/>
          <w:szCs w:val="20"/>
        </w:rPr>
        <w:t>https://www.pennem.com/wp-content/uploads/N-Engl-J-Med-2007-Epstein.pdf</w:t>
      </w:r>
    </w:p>
    <w:p w14:paraId="6752A945" w14:textId="77777777" w:rsidR="00842C25" w:rsidRPr="00F2680B" w:rsidRDefault="00842C25" w:rsidP="00842C25">
      <w:pPr>
        <w:rPr>
          <w:rFonts w:asciiTheme="minorHAnsi" w:hAnsiTheme="minorHAnsi" w:cstheme="minorHAnsi"/>
          <w:iCs/>
          <w:color w:val="000000" w:themeColor="text1"/>
          <w:sz w:val="20"/>
          <w:szCs w:val="20"/>
        </w:rPr>
      </w:pPr>
    </w:p>
    <w:p w14:paraId="6934B48D" w14:textId="77777777" w:rsidR="00842C25" w:rsidRPr="00F2680B" w:rsidRDefault="00842C25" w:rsidP="00842C25">
      <w:pPr>
        <w:rPr>
          <w:rFonts w:asciiTheme="minorHAnsi" w:hAnsiTheme="minorHAnsi" w:cstheme="minorHAnsi"/>
          <w:iCs/>
          <w:color w:val="000000" w:themeColor="text1"/>
          <w:sz w:val="20"/>
          <w:szCs w:val="20"/>
        </w:rPr>
      </w:pPr>
      <w:r w:rsidRPr="00F2680B">
        <w:rPr>
          <w:rFonts w:asciiTheme="minorHAnsi" w:hAnsiTheme="minorHAnsi" w:cstheme="minorHAnsi"/>
          <w:iCs/>
          <w:color w:val="000000" w:themeColor="text1"/>
          <w:sz w:val="20"/>
          <w:szCs w:val="20"/>
        </w:rPr>
        <w:t xml:space="preserve">Medical Schools Council Guidance on Assessment. </w:t>
      </w:r>
      <w:hyperlink r:id="rId7" w:history="1">
        <w:r w:rsidRPr="00F2680B">
          <w:rPr>
            <w:rStyle w:val="Hyperlink"/>
            <w:rFonts w:asciiTheme="minorHAnsi" w:hAnsiTheme="minorHAnsi" w:cstheme="minorHAnsi"/>
            <w:iCs/>
            <w:sz w:val="20"/>
            <w:szCs w:val="20"/>
          </w:rPr>
          <w:t>https://www.medschools.ac.uk/our-work/assessment</w:t>
        </w:r>
      </w:hyperlink>
      <w:r w:rsidRPr="00F2680B">
        <w:rPr>
          <w:rFonts w:asciiTheme="minorHAnsi" w:hAnsiTheme="minorHAnsi" w:cstheme="minorHAnsi"/>
          <w:iCs/>
          <w:color w:val="000000" w:themeColor="text1"/>
          <w:sz w:val="20"/>
          <w:szCs w:val="20"/>
        </w:rPr>
        <w:t>.  Accessed 30</w:t>
      </w:r>
      <w:r w:rsidRPr="00F2680B">
        <w:rPr>
          <w:rFonts w:asciiTheme="minorHAnsi" w:hAnsiTheme="minorHAnsi" w:cstheme="minorHAnsi"/>
          <w:iCs/>
          <w:color w:val="000000" w:themeColor="text1"/>
          <w:sz w:val="20"/>
          <w:szCs w:val="20"/>
          <w:vertAlign w:val="superscript"/>
        </w:rPr>
        <w:t>th</w:t>
      </w:r>
      <w:r w:rsidRPr="00F2680B">
        <w:rPr>
          <w:rFonts w:asciiTheme="minorHAnsi" w:hAnsiTheme="minorHAnsi" w:cstheme="minorHAnsi"/>
          <w:iCs/>
          <w:color w:val="000000" w:themeColor="text1"/>
          <w:sz w:val="20"/>
          <w:szCs w:val="20"/>
        </w:rPr>
        <w:t xml:space="preserve"> March 2020. </w:t>
      </w:r>
    </w:p>
    <w:p w14:paraId="25FF6210" w14:textId="77777777" w:rsidR="00842C25" w:rsidRPr="00F2680B" w:rsidRDefault="00842C25" w:rsidP="00842C25">
      <w:pPr>
        <w:spacing w:before="100" w:beforeAutospacing="1" w:after="100" w:afterAutospacing="1"/>
        <w:rPr>
          <w:rFonts w:asciiTheme="minorHAnsi" w:hAnsiTheme="minorHAnsi" w:cstheme="minorHAnsi"/>
          <w:iCs/>
          <w:color w:val="3F3F3F"/>
          <w:sz w:val="20"/>
          <w:szCs w:val="20"/>
        </w:rPr>
      </w:pPr>
      <w:r w:rsidRPr="00F2680B">
        <w:rPr>
          <w:rFonts w:asciiTheme="minorHAnsi" w:hAnsiTheme="minorHAnsi" w:cstheme="minorHAnsi"/>
          <w:iCs/>
          <w:sz w:val="20"/>
          <w:szCs w:val="20"/>
        </w:rPr>
        <w:t xml:space="preserve">Van der </w:t>
      </w:r>
      <w:proofErr w:type="spellStart"/>
      <w:r w:rsidRPr="00F2680B">
        <w:rPr>
          <w:rFonts w:asciiTheme="minorHAnsi" w:hAnsiTheme="minorHAnsi" w:cstheme="minorHAnsi"/>
          <w:iCs/>
          <w:sz w:val="20"/>
          <w:szCs w:val="20"/>
        </w:rPr>
        <w:t>Vleuten</w:t>
      </w:r>
      <w:proofErr w:type="spellEnd"/>
      <w:r w:rsidRPr="00F2680B">
        <w:rPr>
          <w:rFonts w:asciiTheme="minorHAnsi" w:hAnsiTheme="minorHAnsi" w:cstheme="minorHAnsi"/>
          <w:iCs/>
          <w:sz w:val="20"/>
          <w:szCs w:val="20"/>
        </w:rPr>
        <w:t xml:space="preserve">, C.P.M., </w:t>
      </w:r>
      <w:proofErr w:type="spellStart"/>
      <w:r w:rsidRPr="00F2680B">
        <w:rPr>
          <w:rFonts w:asciiTheme="minorHAnsi" w:hAnsiTheme="minorHAnsi" w:cstheme="minorHAnsi"/>
          <w:iCs/>
          <w:sz w:val="20"/>
          <w:szCs w:val="20"/>
        </w:rPr>
        <w:t>Schuwirth</w:t>
      </w:r>
      <w:proofErr w:type="spellEnd"/>
      <w:r w:rsidRPr="00F2680B">
        <w:rPr>
          <w:rFonts w:asciiTheme="minorHAnsi" w:hAnsiTheme="minorHAnsi" w:cstheme="minorHAnsi"/>
          <w:iCs/>
          <w:sz w:val="20"/>
          <w:szCs w:val="20"/>
        </w:rPr>
        <w:t xml:space="preserve">, L.W.T., </w:t>
      </w:r>
      <w:proofErr w:type="spellStart"/>
      <w:r w:rsidRPr="00F2680B">
        <w:rPr>
          <w:rFonts w:asciiTheme="minorHAnsi" w:hAnsiTheme="minorHAnsi" w:cstheme="minorHAnsi"/>
          <w:iCs/>
          <w:sz w:val="20"/>
          <w:szCs w:val="20"/>
        </w:rPr>
        <w:t>Driessen</w:t>
      </w:r>
      <w:proofErr w:type="spellEnd"/>
      <w:r w:rsidRPr="00F2680B">
        <w:rPr>
          <w:rFonts w:asciiTheme="minorHAnsi" w:hAnsiTheme="minorHAnsi" w:cstheme="minorHAnsi"/>
          <w:iCs/>
          <w:sz w:val="20"/>
          <w:szCs w:val="20"/>
        </w:rPr>
        <w:t xml:space="preserve">, E.W., </w:t>
      </w:r>
      <w:proofErr w:type="spellStart"/>
      <w:r w:rsidRPr="00F2680B">
        <w:rPr>
          <w:rFonts w:asciiTheme="minorHAnsi" w:hAnsiTheme="minorHAnsi" w:cstheme="minorHAnsi"/>
          <w:iCs/>
          <w:sz w:val="20"/>
          <w:szCs w:val="20"/>
        </w:rPr>
        <w:t>Govaerts</w:t>
      </w:r>
      <w:proofErr w:type="spellEnd"/>
      <w:r w:rsidRPr="00F2680B">
        <w:rPr>
          <w:rFonts w:asciiTheme="minorHAnsi" w:hAnsiTheme="minorHAnsi" w:cstheme="minorHAnsi"/>
          <w:iCs/>
          <w:sz w:val="20"/>
          <w:szCs w:val="20"/>
        </w:rPr>
        <w:t xml:space="preserve">, M.J.B., &amp; </w:t>
      </w:r>
      <w:proofErr w:type="spellStart"/>
      <w:r w:rsidRPr="00F2680B">
        <w:rPr>
          <w:rFonts w:asciiTheme="minorHAnsi" w:hAnsiTheme="minorHAnsi" w:cstheme="minorHAnsi"/>
          <w:iCs/>
          <w:sz w:val="20"/>
          <w:szCs w:val="20"/>
        </w:rPr>
        <w:t>Heeneman</w:t>
      </w:r>
      <w:proofErr w:type="spellEnd"/>
      <w:r w:rsidRPr="00F2680B">
        <w:rPr>
          <w:rFonts w:asciiTheme="minorHAnsi" w:hAnsiTheme="minorHAnsi" w:cstheme="minorHAnsi"/>
          <w:iCs/>
          <w:sz w:val="20"/>
          <w:szCs w:val="20"/>
        </w:rPr>
        <w:t xml:space="preserve">, S. Twelve Tips for programmatic assessment. Medical Teacher, 2015, 37, 641-46. </w:t>
      </w:r>
    </w:p>
    <w:p w14:paraId="473E2700" w14:textId="77777777" w:rsidR="00D556C6" w:rsidRDefault="00D556C6">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br w:type="page"/>
      </w:r>
    </w:p>
    <w:p w14:paraId="2C758C10" w14:textId="3CE20DF4" w:rsidR="00842C25" w:rsidRPr="00FE06B2" w:rsidRDefault="000552C7" w:rsidP="000552C7">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lastRenderedPageBreak/>
        <w:t>RESOURCES</w:t>
      </w:r>
    </w:p>
    <w:p w14:paraId="348B1F06" w14:textId="77777777" w:rsidR="00842C25" w:rsidRPr="00FE06B2" w:rsidRDefault="00842C25" w:rsidP="00842C25">
      <w:pPr>
        <w:rPr>
          <w:rFonts w:asciiTheme="minorHAnsi" w:hAnsiTheme="minorHAnsi" w:cstheme="minorHAnsi"/>
          <w:b/>
          <w:color w:val="000000" w:themeColor="text1"/>
          <w:sz w:val="20"/>
          <w:szCs w:val="20"/>
        </w:rPr>
      </w:pPr>
    </w:p>
    <w:p w14:paraId="58320185" w14:textId="366B1147" w:rsidR="00842C25" w:rsidRPr="00FE06B2" w:rsidRDefault="00842C25" w:rsidP="00842C25">
      <w:pPr>
        <w:rPr>
          <w:rFonts w:asciiTheme="minorHAnsi" w:hAnsiTheme="minorHAnsi" w:cstheme="minorHAnsi"/>
          <w:color w:val="000000" w:themeColor="text1"/>
          <w:sz w:val="20"/>
          <w:szCs w:val="20"/>
        </w:rPr>
      </w:pPr>
      <w:r w:rsidRPr="00FE06B2">
        <w:rPr>
          <w:rFonts w:asciiTheme="minorHAnsi" w:hAnsiTheme="minorHAnsi" w:cstheme="minorHAnsi"/>
          <w:color w:val="000000" w:themeColor="text1"/>
          <w:sz w:val="20"/>
          <w:szCs w:val="20"/>
        </w:rPr>
        <w:t xml:space="preserve">Within </w:t>
      </w:r>
      <w:r w:rsidR="00A3073C">
        <w:rPr>
          <w:rFonts w:asciiTheme="minorHAnsi" w:hAnsiTheme="minorHAnsi" w:cstheme="minorHAnsi"/>
          <w:color w:val="000000" w:themeColor="text1"/>
          <w:sz w:val="20"/>
          <w:szCs w:val="20"/>
        </w:rPr>
        <w:t>e</w:t>
      </w:r>
      <w:r w:rsidRPr="00FE06B2">
        <w:rPr>
          <w:rFonts w:asciiTheme="minorHAnsi" w:hAnsiTheme="minorHAnsi" w:cstheme="minorHAnsi"/>
          <w:color w:val="000000" w:themeColor="text1"/>
          <w:sz w:val="20"/>
          <w:szCs w:val="20"/>
        </w:rPr>
        <w:t>ach section of the curriculum</w:t>
      </w:r>
      <w:r w:rsidR="00D556C6">
        <w:rPr>
          <w:rFonts w:asciiTheme="minorHAnsi" w:hAnsiTheme="minorHAnsi" w:cstheme="minorHAnsi"/>
          <w:color w:val="000000" w:themeColor="text1"/>
          <w:sz w:val="20"/>
          <w:szCs w:val="20"/>
        </w:rPr>
        <w:t>,</w:t>
      </w:r>
      <w:r w:rsidRPr="00FE06B2">
        <w:rPr>
          <w:rFonts w:asciiTheme="minorHAnsi" w:hAnsiTheme="minorHAnsi" w:cstheme="minorHAnsi"/>
          <w:color w:val="000000" w:themeColor="text1"/>
          <w:sz w:val="20"/>
          <w:szCs w:val="20"/>
        </w:rPr>
        <w:t xml:space="preserve"> a brief background is provided explaining what sort of considerations should be exercised when planning learning opportunities for that section. </w:t>
      </w:r>
      <w:r w:rsidR="00A3073C">
        <w:rPr>
          <w:rFonts w:asciiTheme="minorHAnsi" w:hAnsiTheme="minorHAnsi" w:cstheme="minorHAnsi"/>
          <w:color w:val="000000" w:themeColor="text1"/>
          <w:sz w:val="20"/>
          <w:szCs w:val="20"/>
        </w:rPr>
        <w:t xml:space="preserve"> </w:t>
      </w:r>
      <w:r w:rsidRPr="00FE06B2">
        <w:rPr>
          <w:rFonts w:asciiTheme="minorHAnsi" w:hAnsiTheme="minorHAnsi" w:cstheme="minorHAnsi"/>
          <w:color w:val="000000" w:themeColor="text1"/>
          <w:sz w:val="20"/>
          <w:szCs w:val="20"/>
        </w:rPr>
        <w:t xml:space="preserve">As part of this, for each section, we are currently collating resources you may wish to consider during your teaching. </w:t>
      </w:r>
      <w:r w:rsidR="00A3073C">
        <w:rPr>
          <w:rFonts w:asciiTheme="minorHAnsi" w:hAnsiTheme="minorHAnsi" w:cstheme="minorHAnsi"/>
          <w:color w:val="000000" w:themeColor="text1"/>
          <w:sz w:val="20"/>
          <w:szCs w:val="20"/>
        </w:rPr>
        <w:t xml:space="preserve"> </w:t>
      </w:r>
      <w:r w:rsidRPr="00FE06B2">
        <w:rPr>
          <w:rFonts w:asciiTheme="minorHAnsi" w:hAnsiTheme="minorHAnsi" w:cstheme="minorHAnsi"/>
          <w:color w:val="000000" w:themeColor="text1"/>
          <w:sz w:val="20"/>
          <w:szCs w:val="20"/>
        </w:rPr>
        <w:t>We’d strongly recommend that in addition to the resources you have available and what is provided within each section, you also consider the following websites which provide very good support</w:t>
      </w:r>
      <w:r w:rsidR="000552C7">
        <w:rPr>
          <w:rFonts w:asciiTheme="minorHAnsi" w:hAnsiTheme="minorHAnsi" w:cstheme="minorHAnsi"/>
          <w:color w:val="000000" w:themeColor="text1"/>
          <w:sz w:val="20"/>
          <w:szCs w:val="20"/>
        </w:rPr>
        <w:t xml:space="preserve"> </w:t>
      </w:r>
      <w:r w:rsidRPr="00FE06B2">
        <w:rPr>
          <w:rFonts w:asciiTheme="minorHAnsi" w:hAnsiTheme="minorHAnsi" w:cstheme="minorHAnsi"/>
          <w:color w:val="000000" w:themeColor="text1"/>
          <w:sz w:val="20"/>
          <w:szCs w:val="20"/>
        </w:rPr>
        <w:t>for the undergraduate curriculum</w:t>
      </w:r>
      <w:r w:rsidR="000552C7">
        <w:rPr>
          <w:rFonts w:asciiTheme="minorHAnsi" w:hAnsiTheme="minorHAnsi" w:cstheme="minorHAnsi"/>
          <w:color w:val="000000" w:themeColor="text1"/>
          <w:sz w:val="20"/>
          <w:szCs w:val="20"/>
        </w:rPr>
        <w:t>:</w:t>
      </w:r>
    </w:p>
    <w:p w14:paraId="11712B14" w14:textId="77777777" w:rsidR="00842C25" w:rsidRPr="00FE06B2" w:rsidRDefault="00842C25" w:rsidP="00842C25">
      <w:pPr>
        <w:rPr>
          <w:rFonts w:asciiTheme="minorHAnsi" w:hAnsiTheme="minorHAnsi" w:cstheme="minorHAnsi"/>
          <w:color w:val="000000" w:themeColor="text1"/>
          <w:sz w:val="20"/>
          <w:szCs w:val="20"/>
        </w:rPr>
      </w:pPr>
    </w:p>
    <w:p w14:paraId="682F456F" w14:textId="7887A822" w:rsidR="00F2680B" w:rsidRPr="00FE06B2" w:rsidRDefault="00842C25" w:rsidP="00842C25">
      <w:pPr>
        <w:rPr>
          <w:rFonts w:asciiTheme="minorHAnsi" w:hAnsiTheme="minorHAnsi" w:cstheme="minorHAnsi"/>
          <w:color w:val="0563C1" w:themeColor="hyperlink"/>
          <w:sz w:val="20"/>
          <w:szCs w:val="20"/>
          <w:u w:val="single"/>
        </w:rPr>
      </w:pPr>
      <w:r w:rsidRPr="00FE06B2">
        <w:rPr>
          <w:rFonts w:asciiTheme="minorHAnsi" w:hAnsiTheme="minorHAnsi" w:cstheme="minorHAnsi"/>
          <w:color w:val="000000" w:themeColor="text1"/>
          <w:sz w:val="20"/>
          <w:szCs w:val="20"/>
        </w:rPr>
        <w:t xml:space="preserve">General Medical Council Ethics </w:t>
      </w:r>
      <w:hyperlink r:id="rId8" w:history="1">
        <w:r w:rsidRPr="00FE06B2">
          <w:rPr>
            <w:rStyle w:val="Hyperlink"/>
            <w:rFonts w:asciiTheme="minorHAnsi" w:hAnsiTheme="minorHAnsi" w:cstheme="minorHAnsi"/>
            <w:sz w:val="20"/>
            <w:szCs w:val="20"/>
          </w:rPr>
          <w:t>https://www.gmc-uk.org/ethical-guidance</w:t>
        </w:r>
      </w:hyperlink>
    </w:p>
    <w:p w14:paraId="18ABEEA5" w14:textId="77777777" w:rsidR="00842C25" w:rsidRPr="00FE06B2" w:rsidRDefault="00842C25" w:rsidP="00842C25">
      <w:pPr>
        <w:rPr>
          <w:rFonts w:asciiTheme="minorHAnsi" w:hAnsiTheme="minorHAnsi" w:cstheme="minorHAnsi"/>
          <w:color w:val="000000" w:themeColor="text1"/>
          <w:sz w:val="20"/>
          <w:szCs w:val="20"/>
        </w:rPr>
      </w:pPr>
    </w:p>
    <w:p w14:paraId="16EEF567" w14:textId="44AE88EA" w:rsidR="00842C25" w:rsidRPr="00FE06B2" w:rsidRDefault="00842C25" w:rsidP="00842C25">
      <w:pPr>
        <w:rPr>
          <w:rFonts w:asciiTheme="minorHAnsi" w:hAnsiTheme="minorHAnsi" w:cstheme="minorHAnsi"/>
          <w:color w:val="000000" w:themeColor="text1"/>
          <w:sz w:val="20"/>
          <w:szCs w:val="20"/>
        </w:rPr>
      </w:pPr>
      <w:r w:rsidRPr="00FE06B2">
        <w:rPr>
          <w:rFonts w:asciiTheme="minorHAnsi" w:hAnsiTheme="minorHAnsi" w:cstheme="minorHAnsi"/>
          <w:color w:val="000000" w:themeColor="text1"/>
          <w:sz w:val="20"/>
          <w:szCs w:val="20"/>
        </w:rPr>
        <w:t>Good Medical Practice in Action</w:t>
      </w:r>
      <w:r w:rsidR="00A3073C">
        <w:rPr>
          <w:rFonts w:asciiTheme="minorHAnsi" w:hAnsiTheme="minorHAnsi" w:cstheme="minorHAnsi"/>
          <w:color w:val="000000" w:themeColor="text1"/>
          <w:sz w:val="20"/>
          <w:szCs w:val="20"/>
        </w:rPr>
        <w:t xml:space="preserve"> </w:t>
      </w:r>
      <w:hyperlink r:id="rId9" w:history="1">
        <w:r w:rsidR="00A3073C" w:rsidRPr="00A3073C">
          <w:rPr>
            <w:rStyle w:val="Hyperlink"/>
            <w:rFonts w:asciiTheme="minorHAnsi" w:eastAsiaTheme="majorEastAsia" w:hAnsiTheme="minorHAnsi"/>
            <w:sz w:val="20"/>
            <w:szCs w:val="20"/>
          </w:rPr>
          <w:t>https://www.gmc-uk.org/ethical-guidance/learning-materials/good-medical-practice-in-action</w:t>
        </w:r>
      </w:hyperlink>
      <w:r w:rsidRPr="00A3073C">
        <w:rPr>
          <w:rFonts w:asciiTheme="minorHAnsi" w:hAnsiTheme="minorHAnsi" w:cstheme="minorHAnsi"/>
          <w:color w:val="000000" w:themeColor="text1"/>
          <w:sz w:val="20"/>
          <w:szCs w:val="20"/>
        </w:rPr>
        <w:t xml:space="preserve"> </w:t>
      </w:r>
    </w:p>
    <w:p w14:paraId="5B2360A5" w14:textId="77777777" w:rsidR="00842C25" w:rsidRPr="00FE06B2" w:rsidRDefault="00842C25" w:rsidP="00842C25">
      <w:pPr>
        <w:rPr>
          <w:rFonts w:asciiTheme="minorHAnsi" w:hAnsiTheme="minorHAnsi" w:cstheme="minorHAnsi"/>
          <w:color w:val="000000" w:themeColor="text1"/>
          <w:sz w:val="20"/>
          <w:szCs w:val="20"/>
        </w:rPr>
      </w:pPr>
    </w:p>
    <w:p w14:paraId="773F755A" w14:textId="074A2760" w:rsidR="00842C25" w:rsidRPr="00FE06B2" w:rsidRDefault="00842C25" w:rsidP="00842C25">
      <w:pPr>
        <w:rPr>
          <w:rFonts w:asciiTheme="minorHAnsi" w:hAnsiTheme="minorHAnsi" w:cstheme="minorHAnsi"/>
          <w:color w:val="000000" w:themeColor="text1"/>
          <w:sz w:val="20"/>
          <w:szCs w:val="20"/>
        </w:rPr>
      </w:pPr>
      <w:r w:rsidRPr="00FE06B2">
        <w:rPr>
          <w:rFonts w:asciiTheme="minorHAnsi" w:hAnsiTheme="minorHAnsi" w:cstheme="minorHAnsi"/>
          <w:color w:val="000000" w:themeColor="text1"/>
          <w:sz w:val="20"/>
          <w:szCs w:val="20"/>
        </w:rPr>
        <w:t xml:space="preserve">Medical Students Ethics Toolkit </w:t>
      </w:r>
      <w:hyperlink r:id="rId10" w:history="1">
        <w:r w:rsidRPr="00FE06B2">
          <w:rPr>
            <w:rStyle w:val="Hyperlink"/>
            <w:rFonts w:asciiTheme="minorHAnsi" w:hAnsiTheme="minorHAnsi" w:cstheme="minorHAnsi"/>
            <w:sz w:val="20"/>
            <w:szCs w:val="20"/>
          </w:rPr>
          <w:t>https://www.bma.org.uk/advice/employment/ethics/medical-students-ethics-toolkit</w:t>
        </w:r>
      </w:hyperlink>
      <w:r w:rsidRPr="00FE06B2">
        <w:rPr>
          <w:rFonts w:asciiTheme="minorHAnsi" w:hAnsiTheme="minorHAnsi" w:cstheme="minorHAnsi"/>
          <w:color w:val="000000" w:themeColor="text1"/>
          <w:sz w:val="20"/>
          <w:szCs w:val="20"/>
        </w:rPr>
        <w:t xml:space="preserve">  </w:t>
      </w:r>
    </w:p>
    <w:p w14:paraId="5885EE9C" w14:textId="77777777" w:rsidR="00842C25" w:rsidRPr="00FE06B2" w:rsidRDefault="00842C25" w:rsidP="00842C25">
      <w:pPr>
        <w:rPr>
          <w:rFonts w:asciiTheme="minorHAnsi" w:hAnsiTheme="minorHAnsi" w:cstheme="minorHAnsi"/>
          <w:color w:val="000000" w:themeColor="text1"/>
          <w:sz w:val="20"/>
          <w:szCs w:val="20"/>
        </w:rPr>
      </w:pPr>
    </w:p>
    <w:p w14:paraId="251FCCB0" w14:textId="42D54DA4" w:rsidR="00842C25" w:rsidRPr="00FE06B2" w:rsidRDefault="00842C25" w:rsidP="00842C25">
      <w:pPr>
        <w:rPr>
          <w:rFonts w:asciiTheme="minorHAnsi" w:hAnsiTheme="minorHAnsi" w:cstheme="minorHAnsi"/>
          <w:color w:val="000000" w:themeColor="text1"/>
          <w:sz w:val="20"/>
          <w:szCs w:val="20"/>
        </w:rPr>
      </w:pPr>
      <w:r w:rsidRPr="00FE06B2">
        <w:rPr>
          <w:rFonts w:asciiTheme="minorHAnsi" w:hAnsiTheme="minorHAnsi" w:cstheme="minorHAnsi"/>
          <w:color w:val="000000" w:themeColor="text1"/>
          <w:sz w:val="20"/>
          <w:szCs w:val="20"/>
        </w:rPr>
        <w:t xml:space="preserve">Ministry of Ethics </w:t>
      </w:r>
      <w:hyperlink r:id="rId11" w:history="1">
        <w:r w:rsidRPr="00FE06B2">
          <w:rPr>
            <w:rStyle w:val="Hyperlink"/>
            <w:rFonts w:asciiTheme="minorHAnsi" w:hAnsiTheme="minorHAnsi" w:cstheme="minorHAnsi"/>
            <w:sz w:val="20"/>
            <w:szCs w:val="20"/>
          </w:rPr>
          <w:t>https://ministryofethics.co.uk</w:t>
        </w:r>
      </w:hyperlink>
      <w:r w:rsidRPr="00FE06B2">
        <w:rPr>
          <w:rFonts w:asciiTheme="minorHAnsi" w:hAnsiTheme="minorHAnsi" w:cstheme="minorHAnsi"/>
          <w:color w:val="000000" w:themeColor="text1"/>
          <w:sz w:val="20"/>
          <w:szCs w:val="20"/>
        </w:rPr>
        <w:t xml:space="preserve"> </w:t>
      </w:r>
    </w:p>
    <w:p w14:paraId="4FFC32A2" w14:textId="77777777" w:rsidR="00842C25" w:rsidRPr="00FE06B2" w:rsidRDefault="00842C25" w:rsidP="00842C25">
      <w:pPr>
        <w:rPr>
          <w:rFonts w:asciiTheme="minorHAnsi" w:hAnsiTheme="minorHAnsi" w:cstheme="minorHAnsi"/>
          <w:color w:val="000000" w:themeColor="text1"/>
          <w:sz w:val="20"/>
          <w:szCs w:val="20"/>
        </w:rPr>
      </w:pPr>
    </w:p>
    <w:p w14:paraId="49C0D266" w14:textId="5514D2BC" w:rsidR="00842C25" w:rsidRPr="00FE06B2" w:rsidRDefault="00842C25" w:rsidP="00842C25">
      <w:pPr>
        <w:rPr>
          <w:rFonts w:asciiTheme="minorHAnsi" w:hAnsiTheme="minorHAnsi" w:cstheme="minorHAnsi"/>
          <w:color w:val="000000" w:themeColor="text1"/>
          <w:sz w:val="20"/>
          <w:szCs w:val="20"/>
        </w:rPr>
      </w:pPr>
      <w:r w:rsidRPr="00FE06B2">
        <w:rPr>
          <w:rFonts w:asciiTheme="minorHAnsi" w:hAnsiTheme="minorHAnsi" w:cstheme="minorHAnsi"/>
          <w:color w:val="000000" w:themeColor="text1"/>
          <w:sz w:val="20"/>
          <w:szCs w:val="20"/>
        </w:rPr>
        <w:t xml:space="preserve">Capsule. </w:t>
      </w:r>
      <w:r w:rsidR="00A3073C">
        <w:rPr>
          <w:rFonts w:asciiTheme="minorHAnsi" w:hAnsiTheme="minorHAnsi" w:cstheme="minorHAnsi"/>
          <w:color w:val="000000" w:themeColor="text1"/>
          <w:sz w:val="20"/>
          <w:szCs w:val="20"/>
        </w:rPr>
        <w:t xml:space="preserve"> </w:t>
      </w:r>
      <w:r w:rsidRPr="00FE06B2">
        <w:rPr>
          <w:rFonts w:asciiTheme="minorHAnsi" w:hAnsiTheme="minorHAnsi" w:cstheme="minorHAnsi"/>
          <w:color w:val="000000" w:themeColor="text1"/>
          <w:sz w:val="20"/>
          <w:szCs w:val="20"/>
        </w:rPr>
        <w:t>Access via your medical school or Medical Schools Council</w:t>
      </w:r>
    </w:p>
    <w:p w14:paraId="05547165" w14:textId="77777777" w:rsidR="00842C25" w:rsidRPr="00FE06B2" w:rsidRDefault="00842C25" w:rsidP="00842C25">
      <w:pPr>
        <w:rPr>
          <w:rFonts w:asciiTheme="minorHAnsi" w:hAnsiTheme="minorHAnsi" w:cstheme="minorHAnsi"/>
          <w:color w:val="000000" w:themeColor="text1"/>
          <w:sz w:val="20"/>
          <w:szCs w:val="20"/>
        </w:rPr>
      </w:pPr>
    </w:p>
    <w:p w14:paraId="138ED71B" w14:textId="77777777" w:rsidR="00842C25" w:rsidRPr="00FE06B2" w:rsidRDefault="00842C25" w:rsidP="00842C25">
      <w:pPr>
        <w:rPr>
          <w:rFonts w:asciiTheme="minorHAnsi" w:hAnsiTheme="minorHAnsi" w:cstheme="minorHAnsi"/>
          <w:color w:val="000000" w:themeColor="text1"/>
          <w:sz w:val="20"/>
          <w:szCs w:val="20"/>
        </w:rPr>
      </w:pPr>
    </w:p>
    <w:p w14:paraId="6029D210" w14:textId="77777777" w:rsidR="00443A2D" w:rsidRDefault="00443A2D">
      <w:pPr>
        <w:rPr>
          <w:rFonts w:asciiTheme="minorHAnsi" w:hAnsiTheme="minorHAnsi" w:cstheme="minorHAnsi"/>
          <w:b/>
        </w:rPr>
      </w:pPr>
      <w:r>
        <w:rPr>
          <w:rFonts w:asciiTheme="minorHAnsi" w:hAnsiTheme="minorHAnsi" w:cstheme="minorHAnsi"/>
          <w:b/>
        </w:rPr>
        <w:br w:type="page"/>
      </w:r>
    </w:p>
    <w:p w14:paraId="691E51CB" w14:textId="2DBE4516" w:rsidR="002D3AEA" w:rsidRPr="00443A2D" w:rsidRDefault="002D3AEA" w:rsidP="00443A2D">
      <w:pPr>
        <w:pStyle w:val="NormalWeb"/>
        <w:jc w:val="center"/>
        <w:rPr>
          <w:rFonts w:asciiTheme="minorHAnsi" w:eastAsiaTheme="minorHAnsi" w:hAnsiTheme="minorHAnsi" w:cstheme="minorHAnsi"/>
          <w:b/>
        </w:rPr>
      </w:pPr>
      <w:r w:rsidRPr="00443A2D">
        <w:rPr>
          <w:rFonts w:asciiTheme="minorHAnsi" w:hAnsiTheme="minorHAnsi" w:cstheme="minorHAnsi"/>
          <w:b/>
        </w:rPr>
        <w:lastRenderedPageBreak/>
        <w:t>F</w:t>
      </w:r>
      <w:r w:rsidR="00443A2D">
        <w:rPr>
          <w:rFonts w:asciiTheme="minorHAnsi" w:hAnsiTheme="minorHAnsi" w:cstheme="minorHAnsi"/>
          <w:b/>
        </w:rPr>
        <w:t>OUNDATIONS OF MEDICAL ETHICS AND LAW</w:t>
      </w:r>
    </w:p>
    <w:p w14:paraId="4B34CFF5" w14:textId="4B8CB3D8" w:rsidR="002D3AEA" w:rsidRPr="00FE06B2" w:rsidRDefault="00F2680B" w:rsidP="00B22F56">
      <w:pPr>
        <w:pStyle w:val="NormalWeb"/>
        <w:jc w:val="both"/>
        <w:rPr>
          <w:rFonts w:asciiTheme="minorHAnsi" w:hAnsiTheme="minorHAnsi" w:cstheme="minorHAnsi"/>
          <w:sz w:val="20"/>
          <w:szCs w:val="20"/>
        </w:rPr>
      </w:pPr>
      <w:r>
        <w:rPr>
          <w:rFonts w:asciiTheme="minorHAnsi" w:hAnsiTheme="minorHAnsi" w:cstheme="minorHAnsi"/>
          <w:sz w:val="20"/>
          <w:szCs w:val="20"/>
        </w:rPr>
        <w:t>D</w:t>
      </w:r>
      <w:r w:rsidRPr="00FE06B2">
        <w:rPr>
          <w:rFonts w:asciiTheme="minorHAnsi" w:hAnsiTheme="minorHAnsi" w:cstheme="minorHAnsi"/>
          <w:sz w:val="20"/>
          <w:szCs w:val="20"/>
        </w:rPr>
        <w:t>ecision</w:t>
      </w:r>
      <w:r>
        <w:rPr>
          <w:rFonts w:asciiTheme="minorHAnsi" w:hAnsiTheme="minorHAnsi" w:cstheme="minorHAnsi"/>
          <w:sz w:val="20"/>
          <w:szCs w:val="20"/>
        </w:rPr>
        <w:t>-</w:t>
      </w:r>
      <w:r w:rsidRPr="00FE06B2">
        <w:rPr>
          <w:rFonts w:asciiTheme="minorHAnsi" w:hAnsiTheme="minorHAnsi" w:cstheme="minorHAnsi"/>
          <w:sz w:val="20"/>
          <w:szCs w:val="20"/>
        </w:rPr>
        <w:t>making in all medical specialities</w:t>
      </w:r>
      <w:r>
        <w:rPr>
          <w:rFonts w:asciiTheme="minorHAnsi" w:hAnsiTheme="minorHAnsi" w:cstheme="minorHAnsi"/>
          <w:sz w:val="20"/>
          <w:szCs w:val="20"/>
        </w:rPr>
        <w:t xml:space="preserve"> is supported by a</w:t>
      </w:r>
      <w:r w:rsidR="002D3AEA" w:rsidRPr="00FE06B2">
        <w:rPr>
          <w:rFonts w:asciiTheme="minorHAnsi" w:hAnsiTheme="minorHAnsi" w:cstheme="minorHAnsi"/>
          <w:sz w:val="20"/>
          <w:szCs w:val="20"/>
        </w:rPr>
        <w:t xml:space="preserve"> good knowledge of ethical theories and frameworks</w:t>
      </w:r>
      <w:r>
        <w:rPr>
          <w:rFonts w:asciiTheme="minorHAnsi" w:hAnsiTheme="minorHAnsi" w:cstheme="minorHAnsi"/>
          <w:sz w:val="20"/>
          <w:szCs w:val="20"/>
        </w:rPr>
        <w:t>,</w:t>
      </w:r>
      <w:r w:rsidR="002D3AEA" w:rsidRPr="00FE06B2">
        <w:rPr>
          <w:rFonts w:asciiTheme="minorHAnsi" w:hAnsiTheme="minorHAnsi" w:cstheme="minorHAnsi"/>
          <w:sz w:val="20"/>
          <w:szCs w:val="20"/>
        </w:rPr>
        <w:t xml:space="preserve"> as well as tools available to support ethical reasoning. </w:t>
      </w:r>
      <w:r>
        <w:rPr>
          <w:rFonts w:asciiTheme="minorHAnsi" w:hAnsiTheme="minorHAnsi" w:cstheme="minorHAnsi"/>
          <w:sz w:val="20"/>
          <w:szCs w:val="20"/>
        </w:rPr>
        <w:t xml:space="preserve"> </w:t>
      </w:r>
      <w:r w:rsidR="002D3AEA" w:rsidRPr="00FE06B2">
        <w:rPr>
          <w:rFonts w:asciiTheme="minorHAnsi" w:hAnsiTheme="minorHAnsi" w:cstheme="minorHAnsi"/>
          <w:sz w:val="20"/>
          <w:szCs w:val="20"/>
        </w:rPr>
        <w:t>One of the many uses of a good foundation in medical ethics and law is</w:t>
      </w:r>
      <w:r w:rsidR="00A3073C">
        <w:rPr>
          <w:rFonts w:asciiTheme="minorHAnsi" w:hAnsiTheme="minorHAnsi" w:cstheme="minorHAnsi"/>
          <w:sz w:val="20"/>
          <w:szCs w:val="20"/>
        </w:rPr>
        <w:t xml:space="preserve"> that</w:t>
      </w:r>
      <w:r w:rsidR="002D3AEA" w:rsidRPr="00FE06B2">
        <w:rPr>
          <w:rFonts w:asciiTheme="minorHAnsi" w:hAnsiTheme="minorHAnsi" w:cstheme="minorHAnsi"/>
          <w:sz w:val="20"/>
          <w:szCs w:val="20"/>
        </w:rPr>
        <w:t xml:space="preserve"> it can promote a systematic approach to consideration of complex ethical problems. </w:t>
      </w:r>
    </w:p>
    <w:p w14:paraId="441AC378" w14:textId="7A67705B" w:rsidR="002D3AEA" w:rsidRPr="00FE06B2" w:rsidRDefault="002D3AEA" w:rsidP="00B22F56">
      <w:pPr>
        <w:jc w:val="both"/>
        <w:rPr>
          <w:rFonts w:asciiTheme="minorHAnsi" w:hAnsiTheme="minorHAnsi" w:cstheme="minorHAnsi"/>
          <w:sz w:val="20"/>
          <w:szCs w:val="20"/>
        </w:rPr>
      </w:pPr>
      <w:r w:rsidRPr="00FE06B2">
        <w:rPr>
          <w:rFonts w:asciiTheme="minorHAnsi" w:hAnsiTheme="minorHAnsi" w:cstheme="minorHAnsi"/>
          <w:sz w:val="20"/>
          <w:szCs w:val="20"/>
        </w:rPr>
        <w:t>In teaching this area, you may want to consider the dominance of four principles framework in medical ethics and whether it is justified.  To give your learners a broad grounding you may want to include a number of theories and frameworks</w:t>
      </w:r>
      <w:r w:rsidR="00A3073C">
        <w:rPr>
          <w:rFonts w:asciiTheme="minorHAnsi" w:hAnsiTheme="minorHAnsi" w:cstheme="minorHAnsi"/>
          <w:sz w:val="20"/>
          <w:szCs w:val="20"/>
        </w:rPr>
        <w:t>,</w:t>
      </w:r>
      <w:r w:rsidRPr="00FE06B2">
        <w:rPr>
          <w:rFonts w:asciiTheme="minorHAnsi" w:hAnsiTheme="minorHAnsi" w:cstheme="minorHAnsi"/>
          <w:sz w:val="20"/>
          <w:szCs w:val="20"/>
        </w:rPr>
        <w:t xml:space="preserve"> including virtue ethics (</w:t>
      </w:r>
      <w:r w:rsidR="000552C7">
        <w:rPr>
          <w:rFonts w:asciiTheme="minorHAnsi" w:hAnsiTheme="minorHAnsi" w:cstheme="minorHAnsi"/>
          <w:sz w:val="20"/>
          <w:szCs w:val="20"/>
        </w:rPr>
        <w:t xml:space="preserve">highly </w:t>
      </w:r>
      <w:r w:rsidRPr="00FE06B2">
        <w:rPr>
          <w:rFonts w:asciiTheme="minorHAnsi" w:hAnsiTheme="minorHAnsi" w:cstheme="minorHAnsi"/>
          <w:sz w:val="20"/>
          <w:szCs w:val="20"/>
        </w:rPr>
        <w:t>relevant to professionalism), consequentialism, deontology and care</w:t>
      </w:r>
      <w:r w:rsidR="00A3073C">
        <w:rPr>
          <w:rFonts w:asciiTheme="minorHAnsi" w:hAnsiTheme="minorHAnsi" w:cstheme="minorHAnsi"/>
          <w:sz w:val="20"/>
          <w:szCs w:val="20"/>
        </w:rPr>
        <w:t>-based</w:t>
      </w:r>
      <w:r w:rsidRPr="00FE06B2">
        <w:rPr>
          <w:rFonts w:asciiTheme="minorHAnsi" w:hAnsiTheme="minorHAnsi" w:cstheme="minorHAnsi"/>
          <w:sz w:val="20"/>
          <w:szCs w:val="20"/>
        </w:rPr>
        <w:t xml:space="preserve"> ethics. </w:t>
      </w:r>
    </w:p>
    <w:p w14:paraId="51C9A7C9" w14:textId="77777777" w:rsidR="002D3AEA" w:rsidRPr="00FE06B2" w:rsidRDefault="002D3AEA" w:rsidP="00B22F56">
      <w:pPr>
        <w:jc w:val="both"/>
        <w:rPr>
          <w:rFonts w:asciiTheme="minorHAnsi" w:hAnsiTheme="minorHAnsi" w:cstheme="minorHAnsi"/>
          <w:sz w:val="20"/>
          <w:szCs w:val="20"/>
        </w:rPr>
      </w:pPr>
    </w:p>
    <w:p w14:paraId="4036B804" w14:textId="09268D82" w:rsidR="002D3AEA" w:rsidRPr="00FE06B2" w:rsidRDefault="002D3AEA" w:rsidP="00B22F56">
      <w:pPr>
        <w:jc w:val="both"/>
        <w:rPr>
          <w:rFonts w:asciiTheme="minorHAnsi" w:hAnsiTheme="minorHAnsi" w:cstheme="minorHAnsi"/>
          <w:color w:val="000000" w:themeColor="text1"/>
          <w:sz w:val="20"/>
          <w:szCs w:val="20"/>
        </w:rPr>
      </w:pPr>
      <w:r w:rsidRPr="00FE06B2">
        <w:rPr>
          <w:rFonts w:asciiTheme="minorHAnsi" w:hAnsiTheme="minorHAnsi" w:cstheme="minorHAnsi"/>
          <w:sz w:val="20"/>
          <w:szCs w:val="20"/>
        </w:rPr>
        <w:t xml:space="preserve">Popular tools for ethical reasoning include the </w:t>
      </w:r>
      <w:r w:rsidR="00A3073C">
        <w:rPr>
          <w:rFonts w:asciiTheme="minorHAnsi" w:hAnsiTheme="minorHAnsi" w:cstheme="minorHAnsi"/>
          <w:sz w:val="20"/>
          <w:szCs w:val="20"/>
        </w:rPr>
        <w:t>F</w:t>
      </w:r>
      <w:r w:rsidRPr="00FE06B2">
        <w:rPr>
          <w:rFonts w:asciiTheme="minorHAnsi" w:hAnsiTheme="minorHAnsi" w:cstheme="minorHAnsi"/>
          <w:sz w:val="20"/>
          <w:szCs w:val="20"/>
        </w:rPr>
        <w:t xml:space="preserve">our </w:t>
      </w:r>
      <w:r w:rsidR="00A3073C">
        <w:rPr>
          <w:rFonts w:asciiTheme="minorHAnsi" w:hAnsiTheme="minorHAnsi" w:cstheme="minorHAnsi"/>
          <w:sz w:val="20"/>
          <w:szCs w:val="20"/>
        </w:rPr>
        <w:t>Q</w:t>
      </w:r>
      <w:r w:rsidRPr="00FE06B2">
        <w:rPr>
          <w:rFonts w:asciiTheme="minorHAnsi" w:hAnsiTheme="minorHAnsi" w:cstheme="minorHAnsi"/>
          <w:sz w:val="20"/>
          <w:szCs w:val="20"/>
        </w:rPr>
        <w:t xml:space="preserve">uadrant framework and Seedhouse’s </w:t>
      </w:r>
      <w:r w:rsidR="005E6787">
        <w:rPr>
          <w:rFonts w:asciiTheme="minorHAnsi" w:hAnsiTheme="minorHAnsi" w:cstheme="minorHAnsi"/>
          <w:sz w:val="20"/>
          <w:szCs w:val="20"/>
        </w:rPr>
        <w:t>E</w:t>
      </w:r>
      <w:r w:rsidRPr="00FE06B2">
        <w:rPr>
          <w:rFonts w:asciiTheme="minorHAnsi" w:hAnsiTheme="minorHAnsi" w:cstheme="minorHAnsi"/>
          <w:sz w:val="20"/>
          <w:szCs w:val="20"/>
        </w:rPr>
        <w:t xml:space="preserve">thical </w:t>
      </w:r>
      <w:r w:rsidR="005E6787">
        <w:rPr>
          <w:rFonts w:asciiTheme="minorHAnsi" w:hAnsiTheme="minorHAnsi" w:cstheme="minorHAnsi"/>
          <w:sz w:val="20"/>
          <w:szCs w:val="20"/>
        </w:rPr>
        <w:t>G</w:t>
      </w:r>
      <w:r w:rsidRPr="00FE06B2">
        <w:rPr>
          <w:rFonts w:asciiTheme="minorHAnsi" w:hAnsiTheme="minorHAnsi" w:cstheme="minorHAnsi"/>
          <w:sz w:val="20"/>
          <w:szCs w:val="20"/>
        </w:rPr>
        <w:t xml:space="preserve">rid.  It is recommended that you follow this session or integrate </w:t>
      </w:r>
      <w:r w:rsidR="000552C7">
        <w:rPr>
          <w:rFonts w:asciiTheme="minorHAnsi" w:hAnsiTheme="minorHAnsi" w:cstheme="minorHAnsi"/>
          <w:sz w:val="20"/>
          <w:szCs w:val="20"/>
        </w:rPr>
        <w:t>these</w:t>
      </w:r>
      <w:r w:rsidRPr="00FE06B2">
        <w:rPr>
          <w:rFonts w:asciiTheme="minorHAnsi" w:hAnsiTheme="minorHAnsi" w:cstheme="minorHAnsi"/>
          <w:sz w:val="20"/>
          <w:szCs w:val="20"/>
        </w:rPr>
        <w:t xml:space="preserve"> with case</w:t>
      </w:r>
      <w:r w:rsidR="00A3073C">
        <w:rPr>
          <w:rFonts w:asciiTheme="minorHAnsi" w:hAnsiTheme="minorHAnsi" w:cstheme="minorHAnsi"/>
          <w:sz w:val="20"/>
          <w:szCs w:val="20"/>
        </w:rPr>
        <w:t>-</w:t>
      </w:r>
      <w:r w:rsidRPr="00FE06B2">
        <w:rPr>
          <w:rFonts w:asciiTheme="minorHAnsi" w:hAnsiTheme="minorHAnsi" w:cstheme="minorHAnsi"/>
          <w:sz w:val="20"/>
          <w:szCs w:val="20"/>
        </w:rPr>
        <w:t>based session</w:t>
      </w:r>
      <w:r w:rsidR="000552C7">
        <w:rPr>
          <w:rFonts w:asciiTheme="minorHAnsi" w:hAnsiTheme="minorHAnsi" w:cstheme="minorHAnsi"/>
          <w:sz w:val="20"/>
          <w:szCs w:val="20"/>
        </w:rPr>
        <w:t>s,</w:t>
      </w:r>
      <w:r w:rsidRPr="00FE06B2">
        <w:rPr>
          <w:rFonts w:asciiTheme="minorHAnsi" w:hAnsiTheme="minorHAnsi" w:cstheme="minorHAnsi"/>
          <w:sz w:val="20"/>
          <w:szCs w:val="20"/>
        </w:rPr>
        <w:t xml:space="preserve"> so the students have an opportunity to apply their learning in context.  You may also want to link your </w:t>
      </w:r>
      <w:r w:rsidRPr="00FE06B2">
        <w:rPr>
          <w:rFonts w:asciiTheme="minorHAnsi" w:hAnsiTheme="minorHAnsi" w:cstheme="minorHAnsi"/>
          <w:color w:val="000000" w:themeColor="text1"/>
          <w:sz w:val="20"/>
          <w:szCs w:val="20"/>
        </w:rPr>
        <w:t>teaching to how the basis of policy and legislation are informed by ethical theories and frameworks</w:t>
      </w:r>
      <w:r w:rsidR="000552C7">
        <w:rPr>
          <w:rFonts w:asciiTheme="minorHAnsi" w:hAnsiTheme="minorHAnsi" w:cstheme="minorHAnsi"/>
          <w:color w:val="000000" w:themeColor="text1"/>
          <w:sz w:val="20"/>
          <w:szCs w:val="20"/>
        </w:rPr>
        <w:t>, as well as how ethics, law and professional guidance overlap</w:t>
      </w:r>
      <w:r w:rsidRPr="00FE06B2">
        <w:rPr>
          <w:rFonts w:asciiTheme="minorHAnsi" w:hAnsiTheme="minorHAnsi" w:cstheme="minorHAnsi"/>
          <w:color w:val="000000" w:themeColor="text1"/>
          <w:sz w:val="20"/>
          <w:szCs w:val="20"/>
        </w:rPr>
        <w:t xml:space="preserve">.  </w:t>
      </w:r>
    </w:p>
    <w:p w14:paraId="0E3E3DCF" w14:textId="77777777" w:rsidR="002D3AEA" w:rsidRPr="00FE06B2" w:rsidRDefault="002D3AEA" w:rsidP="002D3AEA">
      <w:pPr>
        <w:rPr>
          <w:rFonts w:asciiTheme="minorHAnsi" w:hAnsiTheme="minorHAnsi" w:cstheme="minorHAnsi"/>
          <w:color w:val="000000" w:themeColor="text1"/>
          <w:sz w:val="20"/>
          <w:szCs w:val="20"/>
        </w:rPr>
      </w:pPr>
    </w:p>
    <w:p w14:paraId="04D5E533" w14:textId="77777777" w:rsidR="002D3AEA" w:rsidRPr="00FE06B2" w:rsidRDefault="002D3AEA" w:rsidP="002D3AEA">
      <w:pPr>
        <w:rPr>
          <w:rFonts w:asciiTheme="minorHAnsi" w:hAnsiTheme="minorHAnsi" w:cstheme="minorHAnsi"/>
          <w:color w:val="000000" w:themeColor="text1"/>
          <w:sz w:val="20"/>
          <w:szCs w:val="20"/>
        </w:rPr>
      </w:pPr>
    </w:p>
    <w:tbl>
      <w:tblPr>
        <w:tblStyle w:val="TableGrid"/>
        <w:tblW w:w="0" w:type="auto"/>
        <w:tblLook w:val="04A0" w:firstRow="1" w:lastRow="0" w:firstColumn="1" w:lastColumn="0" w:noHBand="0" w:noVBand="1"/>
      </w:tblPr>
      <w:tblGrid>
        <w:gridCol w:w="9010"/>
      </w:tblGrid>
      <w:tr w:rsidR="002D3AEA" w:rsidRPr="00FE06B2" w14:paraId="095FE792" w14:textId="77777777" w:rsidTr="002D3AEA">
        <w:tc>
          <w:tcPr>
            <w:tcW w:w="9010" w:type="dxa"/>
          </w:tcPr>
          <w:p w14:paraId="7D730A64" w14:textId="3D99BED3" w:rsidR="002D3AEA" w:rsidRDefault="003E4A53" w:rsidP="003E4A53">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 xml:space="preserve">Useful </w:t>
            </w:r>
            <w:r w:rsidR="002D3AEA" w:rsidRPr="00913655">
              <w:rPr>
                <w:rFonts w:asciiTheme="minorHAnsi" w:hAnsiTheme="minorHAnsi" w:cstheme="minorHAnsi"/>
                <w:b/>
                <w:bCs/>
                <w:color w:val="000000" w:themeColor="text1"/>
                <w:sz w:val="20"/>
                <w:szCs w:val="20"/>
              </w:rPr>
              <w:t>Resources</w:t>
            </w:r>
          </w:p>
          <w:p w14:paraId="1CC69572" w14:textId="5F66951B" w:rsidR="00913655" w:rsidRPr="00913655" w:rsidRDefault="00913655" w:rsidP="003E4A53">
            <w:pPr>
              <w:jc w:val="center"/>
              <w:rPr>
                <w:rFonts w:asciiTheme="minorHAnsi" w:hAnsiTheme="minorHAnsi" w:cstheme="minorHAnsi"/>
                <w:b/>
                <w:bCs/>
                <w:color w:val="000000" w:themeColor="text1"/>
                <w:sz w:val="20"/>
                <w:szCs w:val="20"/>
              </w:rPr>
            </w:pPr>
          </w:p>
        </w:tc>
      </w:tr>
      <w:tr w:rsidR="002D3AEA" w:rsidRPr="00FE06B2" w14:paraId="5C25DE29" w14:textId="77777777" w:rsidTr="002D3AEA">
        <w:tc>
          <w:tcPr>
            <w:tcW w:w="9010" w:type="dxa"/>
          </w:tcPr>
          <w:p w14:paraId="439B5ADC" w14:textId="77777777" w:rsidR="00422667" w:rsidRDefault="00422667" w:rsidP="002D3AEA">
            <w:pPr>
              <w:rPr>
                <w:rFonts w:asciiTheme="minorHAnsi" w:hAnsiTheme="minorHAnsi"/>
                <w:sz w:val="20"/>
                <w:szCs w:val="20"/>
              </w:rPr>
            </w:pPr>
            <w:r w:rsidRPr="005F46D4">
              <w:rPr>
                <w:rStyle w:val="bkciteavail"/>
                <w:rFonts w:asciiTheme="minorHAnsi" w:eastAsiaTheme="majorEastAsia" w:hAnsiTheme="minorHAnsi"/>
                <w:color w:val="222222"/>
                <w:sz w:val="20"/>
                <w:szCs w:val="20"/>
              </w:rPr>
              <w:t>Allmark, P.</w:t>
            </w:r>
            <w:r w:rsidRPr="005F46D4">
              <w:rPr>
                <w:rFonts w:asciiTheme="minorHAnsi" w:hAnsiTheme="minorHAnsi"/>
                <w:sz w:val="20"/>
                <w:szCs w:val="20"/>
              </w:rPr>
              <w:t xml:space="preserve"> Can there be an Ethics of Care? Journal of </w:t>
            </w:r>
            <w:r>
              <w:rPr>
                <w:rFonts w:asciiTheme="minorHAnsi" w:hAnsiTheme="minorHAnsi"/>
                <w:sz w:val="20"/>
                <w:szCs w:val="20"/>
              </w:rPr>
              <w:t>M</w:t>
            </w:r>
            <w:r w:rsidRPr="005F46D4">
              <w:rPr>
                <w:rFonts w:asciiTheme="minorHAnsi" w:hAnsiTheme="minorHAnsi"/>
                <w:sz w:val="20"/>
                <w:szCs w:val="20"/>
              </w:rPr>
              <w:t xml:space="preserve">edical </w:t>
            </w:r>
            <w:r>
              <w:rPr>
                <w:rFonts w:asciiTheme="minorHAnsi" w:hAnsiTheme="minorHAnsi"/>
                <w:sz w:val="20"/>
                <w:szCs w:val="20"/>
              </w:rPr>
              <w:t>E</w:t>
            </w:r>
            <w:r w:rsidRPr="005F46D4">
              <w:rPr>
                <w:rFonts w:asciiTheme="minorHAnsi" w:hAnsiTheme="minorHAnsi"/>
                <w:sz w:val="20"/>
                <w:szCs w:val="20"/>
              </w:rPr>
              <w:t xml:space="preserve">thics 1995; 21: 19-24 </w:t>
            </w:r>
            <w:hyperlink r:id="rId12" w:history="1">
              <w:r w:rsidRPr="005F46D4">
                <w:rPr>
                  <w:rStyle w:val="Hyperlink"/>
                  <w:rFonts w:asciiTheme="minorHAnsi" w:eastAsiaTheme="majorEastAsia" w:hAnsiTheme="minorHAnsi"/>
                  <w:sz w:val="20"/>
                  <w:szCs w:val="20"/>
                </w:rPr>
                <w:t>https://jme.bmj.com/content/medethics/21/1/19.full.pdf</w:t>
              </w:r>
            </w:hyperlink>
          </w:p>
          <w:p w14:paraId="32CDD232" w14:textId="77777777" w:rsidR="00422667" w:rsidRDefault="00422667" w:rsidP="002D3AEA">
            <w:pPr>
              <w:rPr>
                <w:rFonts w:asciiTheme="minorHAnsi" w:hAnsiTheme="minorHAnsi"/>
                <w:sz w:val="20"/>
                <w:szCs w:val="20"/>
              </w:rPr>
            </w:pPr>
          </w:p>
          <w:p w14:paraId="3F438582" w14:textId="39F97A19" w:rsidR="002D3AEA" w:rsidRPr="00FE06B2" w:rsidRDefault="002D3AEA" w:rsidP="002D3AEA">
            <w:pPr>
              <w:rPr>
                <w:rFonts w:asciiTheme="minorHAnsi" w:hAnsiTheme="minorHAnsi" w:cstheme="minorHAnsi"/>
                <w:color w:val="000000" w:themeColor="text1"/>
                <w:sz w:val="20"/>
                <w:szCs w:val="20"/>
              </w:rPr>
            </w:pPr>
            <w:r w:rsidRPr="00FE06B2">
              <w:rPr>
                <w:rFonts w:asciiTheme="minorHAnsi" w:hAnsiTheme="minorHAnsi" w:cstheme="minorHAnsi"/>
                <w:color w:val="000000" w:themeColor="text1"/>
                <w:sz w:val="20"/>
                <w:szCs w:val="20"/>
              </w:rPr>
              <w:t xml:space="preserve">Benn, P. (1997). </w:t>
            </w:r>
            <w:r w:rsidR="00A3073C">
              <w:rPr>
                <w:rFonts w:asciiTheme="minorHAnsi" w:hAnsiTheme="minorHAnsi" w:cstheme="minorHAnsi"/>
                <w:color w:val="000000" w:themeColor="text1"/>
                <w:sz w:val="20"/>
                <w:szCs w:val="20"/>
              </w:rPr>
              <w:t xml:space="preserve"> </w:t>
            </w:r>
            <w:r w:rsidRPr="00FE06B2">
              <w:rPr>
                <w:rFonts w:asciiTheme="minorHAnsi" w:hAnsiTheme="minorHAnsi" w:cstheme="minorHAnsi"/>
                <w:color w:val="000000" w:themeColor="text1"/>
                <w:sz w:val="20"/>
                <w:szCs w:val="20"/>
              </w:rPr>
              <w:t xml:space="preserve">Ethics (Fundamentals of Philosophy). Routledge. </w:t>
            </w:r>
          </w:p>
          <w:p w14:paraId="1C65B248" w14:textId="77777777" w:rsidR="002D3AEA" w:rsidRPr="00FE06B2" w:rsidRDefault="002D3AEA" w:rsidP="002D3AEA">
            <w:pPr>
              <w:rPr>
                <w:rFonts w:asciiTheme="minorHAnsi" w:hAnsiTheme="minorHAnsi" w:cstheme="minorHAnsi"/>
                <w:color w:val="000000" w:themeColor="text1"/>
                <w:sz w:val="20"/>
                <w:szCs w:val="20"/>
              </w:rPr>
            </w:pPr>
          </w:p>
          <w:p w14:paraId="047536C5" w14:textId="6D455D98" w:rsidR="002D3AEA" w:rsidRPr="00FE06B2" w:rsidRDefault="002D3AEA" w:rsidP="002D3AEA">
            <w:pPr>
              <w:rPr>
                <w:rStyle w:val="a-size-base"/>
                <w:rFonts w:asciiTheme="minorHAnsi" w:hAnsiTheme="minorHAnsi"/>
                <w:sz w:val="20"/>
                <w:szCs w:val="20"/>
              </w:rPr>
            </w:pPr>
            <w:r w:rsidRPr="00FE06B2">
              <w:rPr>
                <w:rStyle w:val="a-size-base"/>
                <w:rFonts w:asciiTheme="minorHAnsi" w:hAnsiTheme="minorHAnsi" w:cstheme="minorHAnsi"/>
                <w:sz w:val="20"/>
                <w:szCs w:val="20"/>
              </w:rPr>
              <w:t>Beauchamp, T.L., and Childress,</w:t>
            </w:r>
            <w:r w:rsidRPr="00FE06B2">
              <w:rPr>
                <w:rStyle w:val="a-size-base"/>
                <w:rFonts w:asciiTheme="minorHAnsi" w:hAnsiTheme="minorHAnsi"/>
                <w:sz w:val="20"/>
                <w:szCs w:val="20"/>
              </w:rPr>
              <w:t xml:space="preserve"> J.F. (2019). </w:t>
            </w:r>
            <w:r w:rsidR="00A3073C">
              <w:rPr>
                <w:rStyle w:val="a-size-base"/>
                <w:rFonts w:asciiTheme="minorHAnsi" w:hAnsiTheme="minorHAnsi"/>
                <w:sz w:val="20"/>
                <w:szCs w:val="20"/>
              </w:rPr>
              <w:t xml:space="preserve"> </w:t>
            </w:r>
            <w:r w:rsidRPr="00FE06B2">
              <w:rPr>
                <w:rStyle w:val="a-size-base"/>
                <w:rFonts w:asciiTheme="minorHAnsi" w:hAnsiTheme="minorHAnsi"/>
                <w:sz w:val="20"/>
                <w:szCs w:val="20"/>
              </w:rPr>
              <w:t>Principles of Biomedical Ethics. 8</w:t>
            </w:r>
            <w:r w:rsidRPr="00FE06B2">
              <w:rPr>
                <w:rStyle w:val="a-size-base"/>
                <w:rFonts w:asciiTheme="minorHAnsi" w:hAnsiTheme="minorHAnsi"/>
                <w:sz w:val="20"/>
                <w:szCs w:val="20"/>
                <w:vertAlign w:val="superscript"/>
              </w:rPr>
              <w:t>th</w:t>
            </w:r>
            <w:r w:rsidRPr="00FE06B2">
              <w:rPr>
                <w:rStyle w:val="a-size-base"/>
                <w:rFonts w:asciiTheme="minorHAnsi" w:hAnsiTheme="minorHAnsi"/>
                <w:sz w:val="20"/>
                <w:szCs w:val="20"/>
              </w:rPr>
              <w:t xml:space="preserve"> Edition. Oxford University Press. </w:t>
            </w:r>
          </w:p>
          <w:p w14:paraId="1FC2E967" w14:textId="77777777" w:rsidR="002D3AEA" w:rsidRPr="00FE06B2" w:rsidRDefault="002D3AEA" w:rsidP="002D3AEA">
            <w:pPr>
              <w:rPr>
                <w:rFonts w:asciiTheme="minorHAnsi" w:hAnsiTheme="minorHAnsi" w:cstheme="minorHAnsi"/>
                <w:color w:val="000000" w:themeColor="text1"/>
                <w:sz w:val="20"/>
                <w:szCs w:val="20"/>
              </w:rPr>
            </w:pPr>
          </w:p>
          <w:p w14:paraId="1380D2FC" w14:textId="36BD4D76" w:rsidR="002D3AEA" w:rsidRPr="00FE06B2" w:rsidRDefault="002D3AEA" w:rsidP="002D3AEA">
            <w:pPr>
              <w:rPr>
                <w:rFonts w:asciiTheme="minorHAnsi" w:hAnsiTheme="minorHAnsi" w:cstheme="minorHAnsi"/>
                <w:color w:val="333333"/>
                <w:sz w:val="20"/>
                <w:szCs w:val="20"/>
              </w:rPr>
            </w:pPr>
            <w:r w:rsidRPr="00FE06B2">
              <w:rPr>
                <w:rStyle w:val="nlm-surname"/>
                <w:rFonts w:asciiTheme="minorHAnsi" w:hAnsiTheme="minorHAnsi" w:cstheme="minorHAnsi"/>
                <w:color w:val="333333"/>
                <w:sz w:val="20"/>
                <w:szCs w:val="20"/>
              </w:rPr>
              <w:t>Campbell</w:t>
            </w:r>
            <w:r w:rsidR="00D556C6">
              <w:rPr>
                <w:rStyle w:val="nlm-surname"/>
                <w:rFonts w:asciiTheme="minorHAnsi" w:hAnsiTheme="minorHAnsi" w:cstheme="minorHAnsi"/>
                <w:color w:val="333333"/>
                <w:sz w:val="20"/>
                <w:szCs w:val="20"/>
              </w:rPr>
              <w:t>,</w:t>
            </w:r>
            <w:r w:rsidRPr="00FE06B2">
              <w:rPr>
                <w:rStyle w:val="apple-converted-space"/>
                <w:rFonts w:asciiTheme="minorHAnsi" w:hAnsiTheme="minorHAnsi" w:cstheme="minorHAnsi"/>
                <w:color w:val="333333"/>
                <w:sz w:val="20"/>
                <w:szCs w:val="20"/>
              </w:rPr>
              <w:t> </w:t>
            </w:r>
            <w:r w:rsidRPr="00FE06B2">
              <w:rPr>
                <w:rStyle w:val="highwire-citation-author"/>
                <w:rFonts w:asciiTheme="minorHAnsi" w:hAnsiTheme="minorHAnsi" w:cstheme="minorHAnsi"/>
                <w:color w:val="333333"/>
                <w:sz w:val="20"/>
                <w:szCs w:val="20"/>
              </w:rPr>
              <w:t>A</w:t>
            </w:r>
            <w:r w:rsidR="00D556C6">
              <w:rPr>
                <w:rStyle w:val="highwire-citation-author"/>
                <w:rFonts w:asciiTheme="minorHAnsi" w:hAnsiTheme="minorHAnsi" w:cstheme="minorHAnsi"/>
                <w:color w:val="333333"/>
                <w:sz w:val="20"/>
                <w:szCs w:val="20"/>
              </w:rPr>
              <w:t>.</w:t>
            </w:r>
            <w:r w:rsidRPr="00FE06B2">
              <w:rPr>
                <w:rStyle w:val="highwire-citation-author"/>
                <w:rFonts w:asciiTheme="minorHAnsi" w:hAnsiTheme="minorHAnsi" w:cstheme="minorHAnsi"/>
                <w:color w:val="333333"/>
                <w:sz w:val="20"/>
                <w:szCs w:val="20"/>
              </w:rPr>
              <w:t>V</w:t>
            </w:r>
            <w:r w:rsidR="00D556C6">
              <w:rPr>
                <w:rStyle w:val="highwire-citation-author"/>
                <w:rFonts w:asciiTheme="minorHAnsi" w:hAnsiTheme="minorHAnsi" w:cstheme="minorHAnsi"/>
                <w:color w:val="333333"/>
                <w:sz w:val="20"/>
                <w:szCs w:val="20"/>
              </w:rPr>
              <w:t>.</w:t>
            </w:r>
            <w:r w:rsidRPr="00FE06B2">
              <w:rPr>
                <w:rStyle w:val="highwire-citation-author"/>
                <w:rFonts w:asciiTheme="minorHAnsi" w:hAnsiTheme="minorHAnsi" w:cstheme="minorHAnsi"/>
                <w:color w:val="333333"/>
                <w:sz w:val="20"/>
                <w:szCs w:val="20"/>
              </w:rPr>
              <w:t xml:space="preserve"> (2003). </w:t>
            </w:r>
            <w:r w:rsidRPr="00FE06B2">
              <w:rPr>
                <w:rFonts w:asciiTheme="minorHAnsi" w:hAnsiTheme="minorHAnsi" w:cstheme="minorHAnsi"/>
                <w:color w:val="333333"/>
                <w:sz w:val="20"/>
                <w:szCs w:val="20"/>
              </w:rPr>
              <w:t xml:space="preserve">The virtues (and vices) of the four principles.  </w:t>
            </w:r>
            <w:r w:rsidRPr="00FE06B2">
              <w:rPr>
                <w:rStyle w:val="highwire-cite-metadata-journal"/>
                <w:rFonts w:asciiTheme="minorHAnsi" w:hAnsiTheme="minorHAnsi" w:cstheme="minorHAnsi"/>
                <w:i/>
                <w:iCs/>
                <w:color w:val="333333"/>
                <w:sz w:val="20"/>
                <w:szCs w:val="20"/>
              </w:rPr>
              <w:t>Journal of Medical Ethics</w:t>
            </w:r>
            <w:r w:rsidRPr="00FE06B2">
              <w:rPr>
                <w:rStyle w:val="apple-converted-space"/>
                <w:rFonts w:asciiTheme="minorHAnsi" w:hAnsiTheme="minorHAnsi" w:cstheme="minorHAnsi"/>
                <w:i/>
                <w:iCs/>
                <w:color w:val="333333"/>
                <w:sz w:val="20"/>
                <w:szCs w:val="20"/>
              </w:rPr>
              <w:t> </w:t>
            </w:r>
            <w:r w:rsidRPr="00FE06B2">
              <w:rPr>
                <w:rStyle w:val="highwire-cite-metadata-year"/>
                <w:rFonts w:asciiTheme="minorHAnsi" w:hAnsiTheme="minorHAnsi" w:cstheme="minorHAnsi"/>
                <w:color w:val="333333"/>
                <w:sz w:val="20"/>
                <w:szCs w:val="20"/>
              </w:rPr>
              <w:t>2003</w:t>
            </w:r>
            <w:proofErr w:type="gramStart"/>
            <w:r w:rsidRPr="00FE06B2">
              <w:rPr>
                <w:rStyle w:val="highwire-cite-metadata-year"/>
                <w:rFonts w:asciiTheme="minorHAnsi" w:hAnsiTheme="minorHAnsi" w:cstheme="minorHAnsi"/>
                <w:color w:val="333333"/>
                <w:sz w:val="20"/>
                <w:szCs w:val="20"/>
              </w:rPr>
              <w:t>;</w:t>
            </w:r>
            <w:r w:rsidRPr="00FE06B2">
              <w:rPr>
                <w:rStyle w:val="highwire-cite-metadata-volume"/>
                <w:rFonts w:asciiTheme="minorHAnsi" w:hAnsiTheme="minorHAnsi" w:cstheme="minorHAnsi"/>
                <w:bCs/>
                <w:color w:val="333333"/>
                <w:sz w:val="20"/>
                <w:szCs w:val="20"/>
              </w:rPr>
              <w:t>29:</w:t>
            </w:r>
            <w:r w:rsidRPr="00FE06B2">
              <w:rPr>
                <w:rStyle w:val="highwire-cite-metadata-pages"/>
                <w:rFonts w:asciiTheme="minorHAnsi" w:hAnsiTheme="minorHAnsi" w:cstheme="minorHAnsi"/>
                <w:color w:val="333333"/>
                <w:sz w:val="20"/>
                <w:szCs w:val="20"/>
              </w:rPr>
              <w:t>292</w:t>
            </w:r>
            <w:proofErr w:type="gramEnd"/>
            <w:r w:rsidRPr="00FE06B2">
              <w:rPr>
                <w:rStyle w:val="highwire-cite-metadata-pages"/>
                <w:rFonts w:asciiTheme="minorHAnsi" w:hAnsiTheme="minorHAnsi" w:cstheme="minorHAnsi"/>
                <w:color w:val="333333"/>
                <w:sz w:val="20"/>
                <w:szCs w:val="20"/>
              </w:rPr>
              <w:t>-296.</w:t>
            </w:r>
          </w:p>
          <w:p w14:paraId="502ADAB9" w14:textId="77777777" w:rsidR="002D3AEA" w:rsidRPr="00FE06B2" w:rsidRDefault="002D3AEA" w:rsidP="002D3AEA">
            <w:pPr>
              <w:rPr>
                <w:rFonts w:asciiTheme="minorHAnsi" w:hAnsiTheme="minorHAnsi" w:cstheme="minorHAnsi"/>
                <w:color w:val="000000" w:themeColor="text1"/>
                <w:sz w:val="20"/>
                <w:szCs w:val="20"/>
              </w:rPr>
            </w:pPr>
          </w:p>
          <w:p w14:paraId="1715C87F" w14:textId="175CCAE2" w:rsidR="002D3AEA" w:rsidRPr="00FE06B2" w:rsidRDefault="002D3AEA" w:rsidP="002D3AEA">
            <w:pPr>
              <w:rPr>
                <w:rFonts w:asciiTheme="minorHAnsi" w:hAnsiTheme="minorHAnsi" w:cstheme="minorHAnsi"/>
                <w:color w:val="333333"/>
                <w:sz w:val="20"/>
                <w:szCs w:val="20"/>
              </w:rPr>
            </w:pPr>
            <w:r w:rsidRPr="00FE06B2">
              <w:rPr>
                <w:rStyle w:val="nlm-surname"/>
                <w:rFonts w:asciiTheme="minorHAnsi" w:hAnsiTheme="minorHAnsi" w:cstheme="minorHAnsi"/>
                <w:color w:val="333333"/>
                <w:sz w:val="20"/>
                <w:szCs w:val="20"/>
              </w:rPr>
              <w:t>Gardiner</w:t>
            </w:r>
            <w:r w:rsidR="00D556C6">
              <w:rPr>
                <w:rStyle w:val="nlm-surname"/>
                <w:rFonts w:asciiTheme="minorHAnsi" w:hAnsiTheme="minorHAnsi" w:cstheme="minorHAnsi"/>
                <w:color w:val="333333"/>
                <w:sz w:val="20"/>
                <w:szCs w:val="20"/>
              </w:rPr>
              <w:t>,</w:t>
            </w:r>
            <w:r w:rsidRPr="00FE06B2">
              <w:rPr>
                <w:rStyle w:val="apple-converted-space"/>
                <w:rFonts w:asciiTheme="minorHAnsi" w:hAnsiTheme="minorHAnsi" w:cstheme="minorHAnsi"/>
                <w:color w:val="333333"/>
                <w:sz w:val="20"/>
                <w:szCs w:val="20"/>
              </w:rPr>
              <w:t> </w:t>
            </w:r>
            <w:r w:rsidRPr="00FE06B2">
              <w:rPr>
                <w:rStyle w:val="highwire-citation-author"/>
                <w:rFonts w:asciiTheme="minorHAnsi" w:hAnsiTheme="minorHAnsi" w:cstheme="minorHAnsi"/>
                <w:color w:val="333333"/>
                <w:sz w:val="20"/>
                <w:szCs w:val="20"/>
              </w:rPr>
              <w:t>P</w:t>
            </w:r>
            <w:r w:rsidR="00D556C6">
              <w:rPr>
                <w:rStyle w:val="highwire-citation-author"/>
                <w:rFonts w:asciiTheme="minorHAnsi" w:hAnsiTheme="minorHAnsi" w:cstheme="minorHAnsi"/>
                <w:color w:val="333333"/>
                <w:sz w:val="20"/>
                <w:szCs w:val="20"/>
              </w:rPr>
              <w:t>.</w:t>
            </w:r>
            <w:r w:rsidRPr="00FE06B2">
              <w:rPr>
                <w:rStyle w:val="highwire-citation-author"/>
                <w:rFonts w:asciiTheme="minorHAnsi" w:hAnsiTheme="minorHAnsi" w:cstheme="minorHAnsi"/>
                <w:color w:val="333333"/>
                <w:sz w:val="20"/>
                <w:szCs w:val="20"/>
              </w:rPr>
              <w:t xml:space="preserve"> (2003). </w:t>
            </w:r>
            <w:r w:rsidR="00D556C6">
              <w:rPr>
                <w:rStyle w:val="highwire-citation-author"/>
                <w:rFonts w:asciiTheme="minorHAnsi" w:hAnsiTheme="minorHAnsi" w:cstheme="minorHAnsi"/>
                <w:color w:val="333333"/>
                <w:sz w:val="20"/>
                <w:szCs w:val="20"/>
              </w:rPr>
              <w:t xml:space="preserve"> </w:t>
            </w:r>
            <w:r w:rsidRPr="00FE06B2">
              <w:rPr>
                <w:rFonts w:asciiTheme="minorHAnsi" w:hAnsiTheme="minorHAnsi" w:cstheme="minorHAnsi"/>
                <w:color w:val="333333"/>
                <w:sz w:val="20"/>
                <w:szCs w:val="20"/>
              </w:rPr>
              <w:t xml:space="preserve">A virtue ethics approach to moral dilemmas in medicine. </w:t>
            </w:r>
            <w:r w:rsidRPr="00FE06B2">
              <w:rPr>
                <w:rStyle w:val="highwire-cite-metadata-journal"/>
                <w:rFonts w:asciiTheme="minorHAnsi" w:hAnsiTheme="minorHAnsi" w:cstheme="minorHAnsi"/>
                <w:i/>
                <w:iCs/>
                <w:color w:val="333333"/>
                <w:sz w:val="20"/>
                <w:szCs w:val="20"/>
              </w:rPr>
              <w:t>Journal of Medical Ethics</w:t>
            </w:r>
            <w:r w:rsidRPr="00FE06B2">
              <w:rPr>
                <w:rStyle w:val="apple-converted-space"/>
                <w:rFonts w:asciiTheme="minorHAnsi" w:hAnsiTheme="minorHAnsi" w:cstheme="minorHAnsi"/>
                <w:i/>
                <w:iCs/>
                <w:color w:val="333333"/>
                <w:sz w:val="20"/>
                <w:szCs w:val="20"/>
              </w:rPr>
              <w:t> </w:t>
            </w:r>
            <w:r w:rsidRPr="00FE06B2">
              <w:rPr>
                <w:rStyle w:val="highwire-cite-metadata-year"/>
                <w:rFonts w:asciiTheme="minorHAnsi" w:hAnsiTheme="minorHAnsi" w:cstheme="minorHAnsi"/>
                <w:color w:val="333333"/>
                <w:sz w:val="20"/>
                <w:szCs w:val="20"/>
              </w:rPr>
              <w:t>2003</w:t>
            </w:r>
            <w:proofErr w:type="gramStart"/>
            <w:r w:rsidRPr="00FE06B2">
              <w:rPr>
                <w:rStyle w:val="highwire-cite-metadata-year"/>
                <w:rFonts w:asciiTheme="minorHAnsi" w:hAnsiTheme="minorHAnsi" w:cstheme="minorHAnsi"/>
                <w:color w:val="333333"/>
                <w:sz w:val="20"/>
                <w:szCs w:val="20"/>
              </w:rPr>
              <w:t>;</w:t>
            </w:r>
            <w:r w:rsidRPr="00FE06B2">
              <w:rPr>
                <w:rStyle w:val="highwire-cite-metadata-volume"/>
                <w:rFonts w:asciiTheme="minorHAnsi" w:hAnsiTheme="minorHAnsi" w:cstheme="minorHAnsi"/>
                <w:bCs/>
                <w:color w:val="333333"/>
                <w:sz w:val="20"/>
                <w:szCs w:val="20"/>
              </w:rPr>
              <w:t>29:</w:t>
            </w:r>
            <w:r w:rsidRPr="00FE06B2">
              <w:rPr>
                <w:rStyle w:val="highwire-cite-metadata-pages"/>
                <w:rFonts w:asciiTheme="minorHAnsi" w:hAnsiTheme="minorHAnsi" w:cstheme="minorHAnsi"/>
                <w:color w:val="333333"/>
                <w:sz w:val="20"/>
                <w:szCs w:val="20"/>
              </w:rPr>
              <w:t>297</w:t>
            </w:r>
            <w:proofErr w:type="gramEnd"/>
            <w:r w:rsidRPr="00FE06B2">
              <w:rPr>
                <w:rStyle w:val="highwire-cite-metadata-pages"/>
                <w:rFonts w:asciiTheme="minorHAnsi" w:hAnsiTheme="minorHAnsi" w:cstheme="minorHAnsi"/>
                <w:color w:val="333333"/>
                <w:sz w:val="20"/>
                <w:szCs w:val="20"/>
              </w:rPr>
              <w:t>-302.</w:t>
            </w:r>
          </w:p>
          <w:p w14:paraId="39B96915" w14:textId="77777777" w:rsidR="002D3AEA" w:rsidRPr="00FE06B2" w:rsidRDefault="002D3AEA" w:rsidP="002D3AEA">
            <w:pPr>
              <w:rPr>
                <w:rFonts w:asciiTheme="minorHAnsi" w:hAnsiTheme="minorHAnsi" w:cstheme="minorHAnsi"/>
                <w:color w:val="000000" w:themeColor="text1"/>
                <w:sz w:val="20"/>
                <w:szCs w:val="20"/>
              </w:rPr>
            </w:pPr>
          </w:p>
          <w:p w14:paraId="2BAB94F5" w14:textId="3E007495" w:rsidR="002D3AEA" w:rsidRDefault="002D3AEA" w:rsidP="002D3AEA">
            <w:pPr>
              <w:rPr>
                <w:rStyle w:val="bkciteavail"/>
                <w:rFonts w:asciiTheme="minorHAnsi" w:eastAsiaTheme="majorEastAsia" w:hAnsiTheme="minorHAnsi" w:cstheme="minorHAnsi"/>
                <w:color w:val="222222"/>
                <w:sz w:val="20"/>
                <w:szCs w:val="20"/>
              </w:rPr>
            </w:pPr>
            <w:r w:rsidRPr="00FE06B2">
              <w:rPr>
                <w:rFonts w:asciiTheme="minorHAnsi" w:hAnsiTheme="minorHAnsi" w:cstheme="minorHAnsi"/>
                <w:color w:val="222222"/>
                <w:sz w:val="20"/>
                <w:szCs w:val="20"/>
                <w:shd w:val="clear" w:color="auto" w:fill="FFFFFF"/>
              </w:rPr>
              <w:t>Savulescu</w:t>
            </w:r>
            <w:r w:rsidR="00D556C6">
              <w:rPr>
                <w:rFonts w:asciiTheme="minorHAnsi" w:hAnsiTheme="minorHAnsi" w:cstheme="minorHAnsi"/>
                <w:color w:val="222222"/>
                <w:sz w:val="20"/>
                <w:szCs w:val="20"/>
                <w:shd w:val="clear" w:color="auto" w:fill="FFFFFF"/>
              </w:rPr>
              <w:t>,</w:t>
            </w:r>
            <w:r w:rsidRPr="00FE06B2">
              <w:rPr>
                <w:rFonts w:asciiTheme="minorHAnsi" w:hAnsiTheme="minorHAnsi" w:cstheme="minorHAnsi"/>
                <w:color w:val="222222"/>
                <w:sz w:val="20"/>
                <w:szCs w:val="20"/>
                <w:shd w:val="clear" w:color="auto" w:fill="FFFFFF"/>
              </w:rPr>
              <w:t xml:space="preserve"> J</w:t>
            </w:r>
            <w:r w:rsidR="00D556C6">
              <w:rPr>
                <w:rFonts w:asciiTheme="minorHAnsi" w:hAnsiTheme="minorHAnsi" w:cstheme="minorHAnsi"/>
                <w:color w:val="222222"/>
                <w:sz w:val="20"/>
                <w:szCs w:val="20"/>
                <w:shd w:val="clear" w:color="auto" w:fill="FFFFFF"/>
              </w:rPr>
              <w:t>.</w:t>
            </w:r>
            <w:r w:rsidRPr="00FE06B2">
              <w:rPr>
                <w:rFonts w:asciiTheme="minorHAnsi" w:hAnsiTheme="minorHAnsi" w:cstheme="minorHAnsi"/>
                <w:color w:val="222222"/>
                <w:sz w:val="20"/>
                <w:szCs w:val="20"/>
                <w:shd w:val="clear" w:color="auto" w:fill="FFFFFF"/>
              </w:rPr>
              <w:t>, Wilkinson</w:t>
            </w:r>
            <w:r w:rsidR="00D556C6">
              <w:rPr>
                <w:rFonts w:asciiTheme="minorHAnsi" w:hAnsiTheme="minorHAnsi" w:cstheme="minorHAnsi"/>
                <w:color w:val="222222"/>
                <w:sz w:val="20"/>
                <w:szCs w:val="20"/>
                <w:shd w:val="clear" w:color="auto" w:fill="FFFFFF"/>
              </w:rPr>
              <w:t>,</w:t>
            </w:r>
            <w:r w:rsidRPr="00FE06B2">
              <w:rPr>
                <w:rFonts w:asciiTheme="minorHAnsi" w:hAnsiTheme="minorHAnsi" w:cstheme="minorHAnsi"/>
                <w:color w:val="222222"/>
                <w:sz w:val="20"/>
                <w:szCs w:val="20"/>
                <w:shd w:val="clear" w:color="auto" w:fill="FFFFFF"/>
              </w:rPr>
              <w:t xml:space="preserve"> D.</w:t>
            </w:r>
            <w:r w:rsidR="00D556C6">
              <w:rPr>
                <w:rFonts w:asciiTheme="minorHAnsi" w:hAnsiTheme="minorHAnsi" w:cstheme="minorHAnsi"/>
                <w:color w:val="222222"/>
                <w:sz w:val="20"/>
                <w:szCs w:val="20"/>
                <w:shd w:val="clear" w:color="auto" w:fill="FFFFFF"/>
              </w:rPr>
              <w:t xml:space="preserve"> </w:t>
            </w:r>
            <w:r w:rsidRPr="00FE06B2">
              <w:rPr>
                <w:rFonts w:asciiTheme="minorHAnsi" w:hAnsiTheme="minorHAnsi" w:cstheme="minorHAnsi"/>
                <w:color w:val="222222"/>
                <w:sz w:val="20"/>
                <w:szCs w:val="20"/>
                <w:shd w:val="clear" w:color="auto" w:fill="FFFFFF"/>
              </w:rPr>
              <w:t xml:space="preserve"> Consequentialism and the Law in Medicine. In: </w:t>
            </w:r>
            <w:r w:rsidR="00D556C6">
              <w:rPr>
                <w:rFonts w:asciiTheme="minorHAnsi" w:hAnsiTheme="minorHAnsi" w:cstheme="minorHAnsi"/>
                <w:color w:val="222222"/>
                <w:sz w:val="20"/>
                <w:szCs w:val="20"/>
                <w:shd w:val="clear" w:color="auto" w:fill="FFFFFF"/>
              </w:rPr>
              <w:t>D</w:t>
            </w:r>
            <w:r w:rsidRPr="00FE06B2">
              <w:rPr>
                <w:rFonts w:asciiTheme="minorHAnsi" w:hAnsiTheme="minorHAnsi" w:cstheme="minorHAnsi"/>
                <w:color w:val="222222"/>
                <w:sz w:val="20"/>
                <w:szCs w:val="20"/>
                <w:shd w:val="clear" w:color="auto" w:fill="FFFFFF"/>
              </w:rPr>
              <w:t>e Campos</w:t>
            </w:r>
            <w:r w:rsidR="00D556C6">
              <w:rPr>
                <w:rFonts w:asciiTheme="minorHAnsi" w:hAnsiTheme="minorHAnsi" w:cstheme="minorHAnsi"/>
                <w:color w:val="222222"/>
                <w:sz w:val="20"/>
                <w:szCs w:val="20"/>
                <w:shd w:val="clear" w:color="auto" w:fill="FFFFFF"/>
              </w:rPr>
              <w:t>,</w:t>
            </w:r>
            <w:r w:rsidRPr="00FE06B2">
              <w:rPr>
                <w:rFonts w:asciiTheme="minorHAnsi" w:hAnsiTheme="minorHAnsi" w:cstheme="minorHAnsi"/>
                <w:color w:val="222222"/>
                <w:sz w:val="20"/>
                <w:szCs w:val="20"/>
                <w:shd w:val="clear" w:color="auto" w:fill="FFFFFF"/>
              </w:rPr>
              <w:t xml:space="preserve"> T</w:t>
            </w:r>
            <w:r w:rsidR="00D556C6">
              <w:rPr>
                <w:rFonts w:asciiTheme="minorHAnsi" w:hAnsiTheme="minorHAnsi" w:cstheme="minorHAnsi"/>
                <w:color w:val="222222"/>
                <w:sz w:val="20"/>
                <w:szCs w:val="20"/>
                <w:shd w:val="clear" w:color="auto" w:fill="FFFFFF"/>
              </w:rPr>
              <w:t>.</w:t>
            </w:r>
            <w:r w:rsidRPr="00FE06B2">
              <w:rPr>
                <w:rFonts w:asciiTheme="minorHAnsi" w:hAnsiTheme="minorHAnsi" w:cstheme="minorHAnsi"/>
                <w:color w:val="222222"/>
                <w:sz w:val="20"/>
                <w:szCs w:val="20"/>
                <w:shd w:val="clear" w:color="auto" w:fill="FFFFFF"/>
              </w:rPr>
              <w:t>C</w:t>
            </w:r>
            <w:r w:rsidR="00D556C6">
              <w:rPr>
                <w:rFonts w:asciiTheme="minorHAnsi" w:hAnsiTheme="minorHAnsi" w:cstheme="minorHAnsi"/>
                <w:color w:val="222222"/>
                <w:sz w:val="20"/>
                <w:szCs w:val="20"/>
                <w:shd w:val="clear" w:color="auto" w:fill="FFFFFF"/>
              </w:rPr>
              <w:t>.</w:t>
            </w:r>
            <w:r w:rsidRPr="00FE06B2">
              <w:rPr>
                <w:rFonts w:asciiTheme="minorHAnsi" w:hAnsiTheme="minorHAnsi" w:cstheme="minorHAnsi"/>
                <w:color w:val="222222"/>
                <w:sz w:val="20"/>
                <w:szCs w:val="20"/>
                <w:shd w:val="clear" w:color="auto" w:fill="FFFFFF"/>
              </w:rPr>
              <w:t>, Herring</w:t>
            </w:r>
            <w:r w:rsidR="00D556C6">
              <w:rPr>
                <w:rFonts w:asciiTheme="minorHAnsi" w:hAnsiTheme="minorHAnsi" w:cstheme="minorHAnsi"/>
                <w:color w:val="222222"/>
                <w:sz w:val="20"/>
                <w:szCs w:val="20"/>
                <w:shd w:val="clear" w:color="auto" w:fill="FFFFFF"/>
              </w:rPr>
              <w:t>,</w:t>
            </w:r>
            <w:r w:rsidRPr="00FE06B2">
              <w:rPr>
                <w:rFonts w:asciiTheme="minorHAnsi" w:hAnsiTheme="minorHAnsi" w:cstheme="minorHAnsi"/>
                <w:color w:val="222222"/>
                <w:sz w:val="20"/>
                <w:szCs w:val="20"/>
                <w:shd w:val="clear" w:color="auto" w:fill="FFFFFF"/>
              </w:rPr>
              <w:t xml:space="preserve"> J</w:t>
            </w:r>
            <w:r w:rsidR="00D556C6">
              <w:rPr>
                <w:rFonts w:asciiTheme="minorHAnsi" w:hAnsiTheme="minorHAnsi" w:cstheme="minorHAnsi"/>
                <w:color w:val="222222"/>
                <w:sz w:val="20"/>
                <w:szCs w:val="20"/>
                <w:shd w:val="clear" w:color="auto" w:fill="FFFFFF"/>
              </w:rPr>
              <w:t>.</w:t>
            </w:r>
            <w:r w:rsidRPr="00FE06B2">
              <w:rPr>
                <w:rFonts w:asciiTheme="minorHAnsi" w:hAnsiTheme="minorHAnsi" w:cstheme="minorHAnsi"/>
                <w:color w:val="222222"/>
                <w:sz w:val="20"/>
                <w:szCs w:val="20"/>
                <w:shd w:val="clear" w:color="auto" w:fill="FFFFFF"/>
              </w:rPr>
              <w:t>, Phillips</w:t>
            </w:r>
            <w:r w:rsidR="00D556C6">
              <w:rPr>
                <w:rFonts w:asciiTheme="minorHAnsi" w:hAnsiTheme="minorHAnsi" w:cstheme="minorHAnsi"/>
                <w:color w:val="222222"/>
                <w:sz w:val="20"/>
                <w:szCs w:val="20"/>
                <w:shd w:val="clear" w:color="auto" w:fill="FFFFFF"/>
              </w:rPr>
              <w:t>,</w:t>
            </w:r>
            <w:r w:rsidRPr="00FE06B2">
              <w:rPr>
                <w:rFonts w:asciiTheme="minorHAnsi" w:hAnsiTheme="minorHAnsi" w:cstheme="minorHAnsi"/>
                <w:color w:val="222222"/>
                <w:sz w:val="20"/>
                <w:szCs w:val="20"/>
                <w:shd w:val="clear" w:color="auto" w:fill="FFFFFF"/>
              </w:rPr>
              <w:t xml:space="preserve"> A</w:t>
            </w:r>
            <w:r w:rsidR="00D556C6">
              <w:rPr>
                <w:rFonts w:asciiTheme="minorHAnsi" w:hAnsiTheme="minorHAnsi" w:cstheme="minorHAnsi"/>
                <w:color w:val="222222"/>
                <w:sz w:val="20"/>
                <w:szCs w:val="20"/>
                <w:shd w:val="clear" w:color="auto" w:fill="FFFFFF"/>
              </w:rPr>
              <w:t>.</w:t>
            </w:r>
            <w:r w:rsidRPr="00FE06B2">
              <w:rPr>
                <w:rFonts w:asciiTheme="minorHAnsi" w:hAnsiTheme="minorHAnsi" w:cstheme="minorHAnsi"/>
                <w:color w:val="222222"/>
                <w:sz w:val="20"/>
                <w:szCs w:val="20"/>
                <w:shd w:val="clear" w:color="auto" w:fill="FFFFFF"/>
              </w:rPr>
              <w:t>M</w:t>
            </w:r>
            <w:r w:rsidR="00D556C6">
              <w:rPr>
                <w:rFonts w:asciiTheme="minorHAnsi" w:hAnsiTheme="minorHAnsi" w:cstheme="minorHAnsi"/>
                <w:color w:val="222222"/>
                <w:sz w:val="20"/>
                <w:szCs w:val="20"/>
                <w:shd w:val="clear" w:color="auto" w:fill="FFFFFF"/>
              </w:rPr>
              <w:t>.</w:t>
            </w:r>
            <w:r w:rsidRPr="00FE06B2">
              <w:rPr>
                <w:rFonts w:asciiTheme="minorHAnsi" w:hAnsiTheme="minorHAnsi" w:cstheme="minorHAnsi"/>
                <w:color w:val="222222"/>
                <w:sz w:val="20"/>
                <w:szCs w:val="20"/>
                <w:shd w:val="clear" w:color="auto" w:fill="FFFFFF"/>
              </w:rPr>
              <w:t xml:space="preserve">, eds. </w:t>
            </w:r>
            <w:r w:rsidR="00D556C6">
              <w:rPr>
                <w:rFonts w:asciiTheme="minorHAnsi" w:hAnsiTheme="minorHAnsi" w:cstheme="minorHAnsi"/>
                <w:color w:val="222222"/>
                <w:sz w:val="20"/>
                <w:szCs w:val="20"/>
                <w:shd w:val="clear" w:color="auto" w:fill="FFFFFF"/>
              </w:rPr>
              <w:t xml:space="preserve"> </w:t>
            </w:r>
            <w:r w:rsidRPr="00FE06B2">
              <w:rPr>
                <w:rFonts w:asciiTheme="minorHAnsi" w:hAnsiTheme="minorHAnsi" w:cstheme="minorHAnsi"/>
                <w:color w:val="222222"/>
                <w:sz w:val="20"/>
                <w:szCs w:val="20"/>
                <w:shd w:val="clear" w:color="auto" w:fill="FFFFFF"/>
              </w:rPr>
              <w:t xml:space="preserve">Philosophical Foundations of Medical Law. </w:t>
            </w:r>
            <w:r w:rsidR="00D556C6">
              <w:rPr>
                <w:rFonts w:asciiTheme="minorHAnsi" w:hAnsiTheme="minorHAnsi" w:cstheme="minorHAnsi"/>
                <w:color w:val="222222"/>
                <w:sz w:val="20"/>
                <w:szCs w:val="20"/>
                <w:shd w:val="clear" w:color="auto" w:fill="FFFFFF"/>
              </w:rPr>
              <w:t xml:space="preserve"> </w:t>
            </w:r>
            <w:r w:rsidRPr="00FE06B2">
              <w:rPr>
                <w:rFonts w:asciiTheme="minorHAnsi" w:hAnsiTheme="minorHAnsi" w:cstheme="minorHAnsi"/>
                <w:color w:val="222222"/>
                <w:sz w:val="20"/>
                <w:szCs w:val="20"/>
                <w:shd w:val="clear" w:color="auto" w:fill="FFFFFF"/>
              </w:rPr>
              <w:t>Oxford (UK): Oxford University Press; 2019.</w:t>
            </w:r>
            <w:r w:rsidRPr="00FE06B2">
              <w:rPr>
                <w:rStyle w:val="apple-converted-space"/>
                <w:rFonts w:asciiTheme="minorHAnsi" w:hAnsiTheme="minorHAnsi" w:cstheme="minorHAnsi"/>
                <w:color w:val="222222"/>
                <w:sz w:val="20"/>
                <w:szCs w:val="20"/>
                <w:shd w:val="clear" w:color="auto" w:fill="FFFFFF"/>
              </w:rPr>
              <w:t> </w:t>
            </w:r>
            <w:r w:rsidRPr="00FE06B2">
              <w:rPr>
                <w:rStyle w:val="bkciteavail"/>
                <w:rFonts w:asciiTheme="minorHAnsi" w:eastAsiaTheme="majorEastAsia" w:hAnsiTheme="minorHAnsi" w:cstheme="minorHAnsi"/>
                <w:color w:val="222222"/>
                <w:sz w:val="20"/>
                <w:szCs w:val="20"/>
              </w:rPr>
              <w:t xml:space="preserve">Available from: </w:t>
            </w:r>
            <w:hyperlink r:id="rId13" w:history="1">
              <w:r w:rsidR="005F46D4" w:rsidRPr="007D355B">
                <w:rPr>
                  <w:rStyle w:val="Hyperlink"/>
                  <w:rFonts w:asciiTheme="minorHAnsi" w:eastAsiaTheme="majorEastAsia" w:hAnsiTheme="minorHAnsi" w:cstheme="minorHAnsi"/>
                  <w:sz w:val="20"/>
                  <w:szCs w:val="20"/>
                </w:rPr>
                <w:t>https://www.ncbi.nlm.nih.gov/books/NBK550266/</w:t>
              </w:r>
            </w:hyperlink>
          </w:p>
          <w:p w14:paraId="535B6DDF" w14:textId="77777777" w:rsidR="005F46D4" w:rsidRPr="00422667" w:rsidRDefault="005F46D4" w:rsidP="002D3AEA">
            <w:pPr>
              <w:rPr>
                <w:rStyle w:val="bkciteavail"/>
                <w:rFonts w:asciiTheme="minorHAnsi" w:eastAsiaTheme="majorEastAsia" w:hAnsiTheme="minorHAnsi"/>
                <w:color w:val="222222"/>
                <w:sz w:val="20"/>
                <w:szCs w:val="20"/>
              </w:rPr>
            </w:pPr>
          </w:p>
          <w:p w14:paraId="27DACC2B" w14:textId="60987837" w:rsidR="00422667" w:rsidRDefault="00422667" w:rsidP="00422667">
            <w:pPr>
              <w:shd w:val="clear" w:color="auto" w:fill="FFFFFF"/>
              <w:rPr>
                <w:rFonts w:asciiTheme="minorHAnsi" w:hAnsiTheme="minorHAnsi"/>
                <w:color w:val="333333"/>
                <w:sz w:val="20"/>
                <w:szCs w:val="20"/>
              </w:rPr>
            </w:pPr>
            <w:r>
              <w:rPr>
                <w:rFonts w:asciiTheme="minorHAnsi" w:hAnsiTheme="minorHAnsi"/>
                <w:color w:val="333333"/>
                <w:sz w:val="20"/>
                <w:szCs w:val="20"/>
              </w:rPr>
              <w:t>Seedhouse, D.  (2008)</w:t>
            </w:r>
            <w:proofErr w:type="gramStart"/>
            <w:r>
              <w:rPr>
                <w:rFonts w:asciiTheme="minorHAnsi" w:hAnsiTheme="minorHAnsi"/>
                <w:color w:val="333333"/>
                <w:sz w:val="20"/>
                <w:szCs w:val="20"/>
              </w:rPr>
              <w:t>.  Ethics</w:t>
            </w:r>
            <w:proofErr w:type="gramEnd"/>
            <w:r>
              <w:rPr>
                <w:rFonts w:asciiTheme="minorHAnsi" w:hAnsiTheme="minorHAnsi"/>
                <w:color w:val="333333"/>
                <w:sz w:val="20"/>
                <w:szCs w:val="20"/>
              </w:rPr>
              <w:t>: The Heart of Healthcare.  Wiley.  3</w:t>
            </w:r>
            <w:r w:rsidRPr="00422667">
              <w:rPr>
                <w:rFonts w:asciiTheme="minorHAnsi" w:hAnsiTheme="minorHAnsi"/>
                <w:color w:val="333333"/>
                <w:sz w:val="20"/>
                <w:szCs w:val="20"/>
                <w:vertAlign w:val="superscript"/>
              </w:rPr>
              <w:t>rd</w:t>
            </w:r>
            <w:r>
              <w:rPr>
                <w:rFonts w:asciiTheme="minorHAnsi" w:hAnsiTheme="minorHAnsi"/>
                <w:color w:val="333333"/>
                <w:sz w:val="20"/>
                <w:szCs w:val="20"/>
              </w:rPr>
              <w:t xml:space="preserve"> Edition.</w:t>
            </w:r>
          </w:p>
          <w:p w14:paraId="04121704" w14:textId="77777777" w:rsidR="00422667" w:rsidRDefault="00422667" w:rsidP="00422667">
            <w:pPr>
              <w:shd w:val="clear" w:color="auto" w:fill="FFFFFF"/>
              <w:rPr>
                <w:rFonts w:asciiTheme="minorHAnsi" w:hAnsiTheme="minorHAnsi"/>
                <w:color w:val="333333"/>
                <w:sz w:val="20"/>
                <w:szCs w:val="20"/>
              </w:rPr>
            </w:pPr>
          </w:p>
          <w:p w14:paraId="480EA04B" w14:textId="32854E5F" w:rsidR="00422667" w:rsidRPr="00422667" w:rsidRDefault="005E6787" w:rsidP="00422667">
            <w:pPr>
              <w:shd w:val="clear" w:color="auto" w:fill="FFFFFF"/>
              <w:rPr>
                <w:rFonts w:asciiTheme="minorHAnsi" w:hAnsiTheme="minorHAnsi"/>
                <w:color w:val="333333"/>
                <w:sz w:val="20"/>
                <w:szCs w:val="20"/>
                <w:lang w:eastAsia="en-US"/>
              </w:rPr>
            </w:pPr>
            <w:r w:rsidRPr="00422667">
              <w:rPr>
                <w:rFonts w:asciiTheme="minorHAnsi" w:hAnsiTheme="minorHAnsi"/>
                <w:color w:val="333333"/>
                <w:sz w:val="20"/>
                <w:szCs w:val="20"/>
              </w:rPr>
              <w:t>Sokol, D</w:t>
            </w:r>
            <w:r w:rsidR="00D556C6">
              <w:rPr>
                <w:rFonts w:asciiTheme="minorHAnsi" w:hAnsiTheme="minorHAnsi"/>
                <w:color w:val="333333"/>
                <w:sz w:val="20"/>
                <w:szCs w:val="20"/>
              </w:rPr>
              <w:t>.</w:t>
            </w:r>
            <w:r w:rsidRPr="00422667">
              <w:rPr>
                <w:rFonts w:asciiTheme="minorHAnsi" w:hAnsiTheme="minorHAnsi"/>
                <w:color w:val="333333"/>
                <w:sz w:val="20"/>
                <w:szCs w:val="20"/>
              </w:rPr>
              <w:t xml:space="preserve">K.  </w:t>
            </w:r>
            <w:r w:rsidR="00422667" w:rsidRPr="00422667">
              <w:rPr>
                <w:rFonts w:asciiTheme="minorHAnsi" w:hAnsiTheme="minorHAnsi"/>
                <w:color w:val="333333"/>
                <w:sz w:val="20"/>
                <w:szCs w:val="20"/>
              </w:rPr>
              <w:t>(2008)</w:t>
            </w:r>
            <w:proofErr w:type="gramStart"/>
            <w:r w:rsidR="00422667" w:rsidRPr="00422667">
              <w:rPr>
                <w:rFonts w:asciiTheme="minorHAnsi" w:hAnsiTheme="minorHAnsi"/>
                <w:color w:val="333333"/>
                <w:sz w:val="20"/>
                <w:szCs w:val="20"/>
              </w:rPr>
              <w:t xml:space="preserve">.  </w:t>
            </w:r>
            <w:r w:rsidRPr="00422667">
              <w:rPr>
                <w:rFonts w:asciiTheme="minorHAnsi" w:hAnsiTheme="minorHAnsi"/>
                <w:color w:val="333333"/>
                <w:sz w:val="20"/>
                <w:szCs w:val="20"/>
              </w:rPr>
              <w:t>The</w:t>
            </w:r>
            <w:proofErr w:type="gramEnd"/>
            <w:r w:rsidRPr="00422667">
              <w:rPr>
                <w:rFonts w:asciiTheme="minorHAnsi" w:hAnsiTheme="minorHAnsi"/>
                <w:color w:val="333333"/>
                <w:sz w:val="20"/>
                <w:szCs w:val="20"/>
              </w:rPr>
              <w:t xml:space="preserve"> “four quadrants” approach to clinical ethics case analysis; an application and review</w:t>
            </w:r>
            <w:r w:rsidR="00422667" w:rsidRPr="00422667">
              <w:rPr>
                <w:rFonts w:asciiTheme="minorHAnsi" w:hAnsiTheme="minorHAnsi"/>
                <w:color w:val="333333"/>
                <w:sz w:val="20"/>
                <w:szCs w:val="20"/>
              </w:rPr>
              <w:t xml:space="preserve">.  Journal of Medical Ethics. </w:t>
            </w:r>
            <w:r w:rsidR="00422667" w:rsidRPr="00422667">
              <w:rPr>
                <w:rFonts w:asciiTheme="minorHAnsi" w:hAnsiTheme="minorHAnsi"/>
                <w:color w:val="333333"/>
                <w:sz w:val="20"/>
                <w:szCs w:val="20"/>
              </w:rPr>
              <w:br/>
            </w:r>
            <w:hyperlink r:id="rId14" w:history="1">
              <w:r w:rsidR="00422667" w:rsidRPr="00422667">
                <w:rPr>
                  <w:rStyle w:val="Hyperlink"/>
                  <w:rFonts w:asciiTheme="minorHAnsi" w:hAnsiTheme="minorHAnsi"/>
                  <w:sz w:val="20"/>
                  <w:szCs w:val="20"/>
                </w:rPr>
                <w:t>http://dx.doi.org/10.1136/jme.2007.021212</w:t>
              </w:r>
            </w:hyperlink>
          </w:p>
          <w:p w14:paraId="5B4DE70C" w14:textId="7428289F" w:rsidR="005E6787" w:rsidRDefault="005E6787" w:rsidP="005E6787">
            <w:pPr>
              <w:shd w:val="clear" w:color="auto" w:fill="FFFFFF"/>
              <w:rPr>
                <w:rFonts w:ascii="Helvetica Neue" w:hAnsi="Helvetica Neue"/>
                <w:color w:val="333333"/>
                <w:sz w:val="26"/>
                <w:szCs w:val="26"/>
                <w:lang w:eastAsia="en-US"/>
              </w:rPr>
            </w:pPr>
          </w:p>
          <w:p w14:paraId="19012645" w14:textId="1EC12408" w:rsidR="005F46D4" w:rsidRPr="005F46D4" w:rsidRDefault="005F46D4" w:rsidP="002D3AEA">
            <w:pPr>
              <w:rPr>
                <w:rFonts w:asciiTheme="minorHAnsi" w:eastAsiaTheme="minorHAnsi" w:hAnsiTheme="minorHAnsi" w:cstheme="minorHAnsi"/>
                <w:sz w:val="20"/>
                <w:szCs w:val="20"/>
              </w:rPr>
            </w:pPr>
          </w:p>
        </w:tc>
      </w:tr>
    </w:tbl>
    <w:p w14:paraId="57975A02" w14:textId="77777777" w:rsidR="00A3073C" w:rsidRDefault="00A3073C">
      <w:pPr>
        <w:rPr>
          <w:rFonts w:asciiTheme="minorHAnsi" w:hAnsiTheme="minorHAnsi"/>
          <w:b/>
          <w:sz w:val="20"/>
          <w:szCs w:val="20"/>
        </w:rPr>
      </w:pPr>
      <w:r>
        <w:rPr>
          <w:rFonts w:asciiTheme="minorHAnsi" w:hAnsiTheme="minorHAnsi"/>
          <w:b/>
          <w:sz w:val="20"/>
          <w:szCs w:val="20"/>
        </w:rPr>
        <w:br w:type="page"/>
      </w:r>
    </w:p>
    <w:p w14:paraId="037798B1" w14:textId="30D7885E" w:rsidR="00913655" w:rsidRPr="00443A2D" w:rsidRDefault="00913655" w:rsidP="00913655">
      <w:pPr>
        <w:jc w:val="center"/>
        <w:rPr>
          <w:rFonts w:asciiTheme="minorHAnsi" w:hAnsiTheme="minorHAnsi"/>
          <w:b/>
        </w:rPr>
      </w:pPr>
      <w:r w:rsidRPr="00443A2D">
        <w:rPr>
          <w:rFonts w:asciiTheme="minorHAnsi" w:hAnsiTheme="minorHAnsi"/>
          <w:b/>
        </w:rPr>
        <w:lastRenderedPageBreak/>
        <w:t>PROFESSIONALISM</w:t>
      </w:r>
    </w:p>
    <w:p w14:paraId="1E296890" w14:textId="77777777" w:rsidR="00913655" w:rsidRPr="00FE06B2" w:rsidRDefault="00913655" w:rsidP="00913655">
      <w:pPr>
        <w:jc w:val="center"/>
        <w:rPr>
          <w:rFonts w:asciiTheme="minorHAnsi" w:hAnsiTheme="minorHAnsi"/>
          <w:b/>
          <w:sz w:val="20"/>
          <w:szCs w:val="20"/>
        </w:rPr>
      </w:pPr>
    </w:p>
    <w:p w14:paraId="4137DA1A" w14:textId="77777777" w:rsidR="00422667" w:rsidRDefault="00913655" w:rsidP="00913655">
      <w:pPr>
        <w:jc w:val="both"/>
        <w:rPr>
          <w:rFonts w:asciiTheme="minorHAnsi" w:hAnsiTheme="minorHAnsi"/>
          <w:sz w:val="20"/>
          <w:szCs w:val="20"/>
        </w:rPr>
      </w:pPr>
      <w:r w:rsidRPr="00FE06B2">
        <w:rPr>
          <w:rFonts w:asciiTheme="minorHAnsi" w:hAnsiTheme="minorHAnsi"/>
          <w:sz w:val="20"/>
          <w:szCs w:val="20"/>
        </w:rPr>
        <w:t xml:space="preserve">Professionalism can be an elusive concept to adequately define, but is integral to all that medical students are and do. </w:t>
      </w:r>
      <w:r w:rsidR="00A3073C">
        <w:rPr>
          <w:rFonts w:asciiTheme="minorHAnsi" w:hAnsiTheme="minorHAnsi"/>
          <w:sz w:val="20"/>
          <w:szCs w:val="20"/>
        </w:rPr>
        <w:t xml:space="preserve"> </w:t>
      </w:r>
      <w:r w:rsidRPr="00FE06B2">
        <w:rPr>
          <w:rFonts w:asciiTheme="minorHAnsi" w:hAnsiTheme="minorHAnsi"/>
          <w:sz w:val="20"/>
          <w:szCs w:val="20"/>
        </w:rPr>
        <w:t xml:space="preserve">The Royal College of Physicians define professionalism as: ‘A set of values, behaviours and relationships that underpin the trust the public has in doctors.’ </w:t>
      </w:r>
    </w:p>
    <w:p w14:paraId="0550184E" w14:textId="77777777" w:rsidR="00422667" w:rsidRDefault="00422667" w:rsidP="00913655">
      <w:pPr>
        <w:jc w:val="both"/>
        <w:rPr>
          <w:rFonts w:asciiTheme="minorHAnsi" w:hAnsiTheme="minorHAnsi"/>
          <w:sz w:val="20"/>
          <w:szCs w:val="20"/>
        </w:rPr>
      </w:pPr>
    </w:p>
    <w:p w14:paraId="161E29A6" w14:textId="77777777" w:rsidR="000552C7" w:rsidRDefault="00913655" w:rsidP="00913655">
      <w:pPr>
        <w:jc w:val="both"/>
        <w:rPr>
          <w:rFonts w:asciiTheme="minorHAnsi" w:hAnsiTheme="minorHAnsi"/>
          <w:color w:val="222222"/>
          <w:sz w:val="20"/>
          <w:szCs w:val="20"/>
          <w:shd w:val="clear" w:color="auto" w:fill="FFFFFF"/>
        </w:rPr>
      </w:pPr>
      <w:r w:rsidRPr="00FE06B2">
        <w:rPr>
          <w:rFonts w:asciiTheme="minorHAnsi" w:hAnsiTheme="minorHAnsi"/>
          <w:sz w:val="20"/>
          <w:szCs w:val="20"/>
        </w:rPr>
        <w:t xml:space="preserve">It is important that students recognise </w:t>
      </w:r>
      <w:r w:rsidRPr="00FE06B2">
        <w:rPr>
          <w:rFonts w:asciiTheme="minorHAnsi" w:hAnsiTheme="minorHAnsi"/>
          <w:color w:val="222222"/>
          <w:sz w:val="20"/>
          <w:szCs w:val="20"/>
          <w:shd w:val="clear" w:color="auto" w:fill="FFFFFF"/>
        </w:rPr>
        <w:t xml:space="preserve">that developing professionalism is a complex process that is not limited to knowledge and skills acquisition; but it is transformative and incorporates changes to one’s identity and self-realisation.  </w:t>
      </w:r>
      <w:r w:rsidR="004370D7">
        <w:rPr>
          <w:rFonts w:asciiTheme="minorHAnsi" w:hAnsiTheme="minorHAnsi"/>
          <w:color w:val="222222"/>
          <w:sz w:val="20"/>
          <w:szCs w:val="20"/>
          <w:shd w:val="clear" w:color="auto" w:fill="FFFFFF"/>
        </w:rPr>
        <w:t>A key feature of professional development is g</w:t>
      </w:r>
      <w:r w:rsidRPr="00FE06B2">
        <w:rPr>
          <w:rFonts w:asciiTheme="minorHAnsi" w:hAnsiTheme="minorHAnsi"/>
          <w:color w:val="222222"/>
          <w:sz w:val="20"/>
          <w:szCs w:val="20"/>
          <w:shd w:val="clear" w:color="auto" w:fill="FFFFFF"/>
        </w:rPr>
        <w:t xml:space="preserve">aining values and </w:t>
      </w:r>
      <w:r w:rsidR="004370D7">
        <w:rPr>
          <w:rFonts w:asciiTheme="minorHAnsi" w:hAnsiTheme="minorHAnsi"/>
          <w:color w:val="222222"/>
          <w:sz w:val="20"/>
          <w:szCs w:val="20"/>
          <w:shd w:val="clear" w:color="auto" w:fill="FFFFFF"/>
        </w:rPr>
        <w:t xml:space="preserve">dispositions which align </w:t>
      </w:r>
      <w:r w:rsidRPr="00FE06B2">
        <w:rPr>
          <w:rFonts w:asciiTheme="minorHAnsi" w:hAnsiTheme="minorHAnsi"/>
          <w:color w:val="222222"/>
          <w:sz w:val="20"/>
          <w:szCs w:val="20"/>
          <w:shd w:val="clear" w:color="auto" w:fill="FFFFFF"/>
        </w:rPr>
        <w:t xml:space="preserve">with the community of clinicians which the future doctor anticipates joining. </w:t>
      </w:r>
      <w:r w:rsidR="004370D7">
        <w:rPr>
          <w:rFonts w:asciiTheme="minorHAnsi" w:hAnsiTheme="minorHAnsi"/>
          <w:color w:val="222222"/>
          <w:sz w:val="20"/>
          <w:szCs w:val="20"/>
          <w:shd w:val="clear" w:color="auto" w:fill="FFFFFF"/>
        </w:rPr>
        <w:t xml:space="preserve"> </w:t>
      </w:r>
    </w:p>
    <w:p w14:paraId="4878F595" w14:textId="77777777" w:rsidR="000552C7" w:rsidRDefault="000552C7" w:rsidP="00913655">
      <w:pPr>
        <w:jc w:val="both"/>
        <w:rPr>
          <w:rFonts w:asciiTheme="minorHAnsi" w:hAnsiTheme="minorHAnsi"/>
          <w:color w:val="222222"/>
          <w:sz w:val="20"/>
          <w:szCs w:val="20"/>
          <w:shd w:val="clear" w:color="auto" w:fill="FFFFFF"/>
        </w:rPr>
      </w:pPr>
    </w:p>
    <w:p w14:paraId="359D20DF" w14:textId="578269CE" w:rsidR="00913655" w:rsidRPr="00FE06B2" w:rsidRDefault="00913655" w:rsidP="00913655">
      <w:pPr>
        <w:jc w:val="both"/>
        <w:rPr>
          <w:rFonts w:asciiTheme="minorHAnsi" w:hAnsiTheme="minorHAnsi"/>
          <w:sz w:val="20"/>
          <w:szCs w:val="20"/>
        </w:rPr>
      </w:pPr>
      <w:r w:rsidRPr="00FE06B2">
        <w:rPr>
          <w:rFonts w:asciiTheme="minorHAnsi" w:hAnsiTheme="minorHAnsi"/>
          <w:sz w:val="20"/>
          <w:szCs w:val="20"/>
        </w:rPr>
        <w:t>You may wish to discuss the influence of the informal and hidden curriculum</w:t>
      </w:r>
      <w:r w:rsidR="000552C7">
        <w:rPr>
          <w:rFonts w:asciiTheme="minorHAnsi" w:hAnsiTheme="minorHAnsi"/>
          <w:sz w:val="20"/>
          <w:szCs w:val="20"/>
        </w:rPr>
        <w:t xml:space="preserve"> and also </w:t>
      </w:r>
      <w:r w:rsidR="0003670D">
        <w:rPr>
          <w:rFonts w:asciiTheme="minorHAnsi" w:hAnsiTheme="minorHAnsi"/>
          <w:sz w:val="20"/>
          <w:szCs w:val="20"/>
        </w:rPr>
        <w:t xml:space="preserve">explore </w:t>
      </w:r>
      <w:r w:rsidR="000552C7">
        <w:rPr>
          <w:rFonts w:asciiTheme="minorHAnsi" w:hAnsiTheme="minorHAnsi"/>
          <w:sz w:val="20"/>
          <w:szCs w:val="20"/>
        </w:rPr>
        <w:t xml:space="preserve">the functions of the General Medical Council in shaping and </w:t>
      </w:r>
      <w:r w:rsidR="0003670D">
        <w:rPr>
          <w:rFonts w:asciiTheme="minorHAnsi" w:hAnsiTheme="minorHAnsi"/>
          <w:sz w:val="20"/>
          <w:szCs w:val="20"/>
        </w:rPr>
        <w:t xml:space="preserve">governing </w:t>
      </w:r>
      <w:r w:rsidR="000552C7">
        <w:rPr>
          <w:rFonts w:asciiTheme="minorHAnsi" w:hAnsiTheme="minorHAnsi"/>
          <w:sz w:val="20"/>
          <w:szCs w:val="20"/>
        </w:rPr>
        <w:t>professionalism</w:t>
      </w:r>
      <w:r w:rsidR="0003670D">
        <w:rPr>
          <w:rFonts w:asciiTheme="minorHAnsi" w:hAnsiTheme="minorHAnsi"/>
          <w:sz w:val="20"/>
          <w:szCs w:val="20"/>
        </w:rPr>
        <w:t xml:space="preserve"> (including the status of GMC guidance and fitness to practise mechanisms)</w:t>
      </w:r>
      <w:r w:rsidRPr="00FE06B2">
        <w:rPr>
          <w:rFonts w:asciiTheme="minorHAnsi" w:hAnsiTheme="minorHAnsi"/>
          <w:sz w:val="20"/>
          <w:szCs w:val="20"/>
        </w:rPr>
        <w:t xml:space="preserve">. </w:t>
      </w:r>
    </w:p>
    <w:p w14:paraId="533A638C" w14:textId="7409A319" w:rsidR="00913655" w:rsidRDefault="00913655" w:rsidP="00913655">
      <w:pPr>
        <w:jc w:val="both"/>
        <w:rPr>
          <w:rFonts w:asciiTheme="minorHAnsi" w:hAnsiTheme="minorHAnsi"/>
          <w:sz w:val="20"/>
          <w:szCs w:val="20"/>
        </w:rPr>
      </w:pPr>
    </w:p>
    <w:tbl>
      <w:tblPr>
        <w:tblStyle w:val="TableGrid"/>
        <w:tblW w:w="0" w:type="auto"/>
        <w:tblLook w:val="04A0" w:firstRow="1" w:lastRow="0" w:firstColumn="1" w:lastColumn="0" w:noHBand="0" w:noVBand="1"/>
      </w:tblPr>
      <w:tblGrid>
        <w:gridCol w:w="9016"/>
      </w:tblGrid>
      <w:tr w:rsidR="00B475C1" w14:paraId="22BF6B49" w14:textId="77777777" w:rsidTr="00B475C1">
        <w:tc>
          <w:tcPr>
            <w:tcW w:w="9016" w:type="dxa"/>
          </w:tcPr>
          <w:p w14:paraId="527662F6" w14:textId="3F3B3C2C" w:rsidR="00B475C1" w:rsidRDefault="00B475C1" w:rsidP="00B475C1">
            <w:pPr>
              <w:jc w:val="center"/>
              <w:rPr>
                <w:rFonts w:asciiTheme="minorHAnsi" w:hAnsiTheme="minorHAnsi"/>
                <w:sz w:val="20"/>
                <w:szCs w:val="20"/>
              </w:rPr>
            </w:pPr>
            <w:r w:rsidRPr="00FE06B2">
              <w:rPr>
                <w:rFonts w:asciiTheme="minorHAnsi" w:hAnsiTheme="minorHAnsi"/>
                <w:b/>
                <w:sz w:val="20"/>
                <w:szCs w:val="20"/>
              </w:rPr>
              <w:t>Useful resources</w:t>
            </w:r>
          </w:p>
        </w:tc>
      </w:tr>
      <w:tr w:rsidR="00B475C1" w14:paraId="64426270" w14:textId="77777777" w:rsidTr="00B475C1">
        <w:tc>
          <w:tcPr>
            <w:tcW w:w="9016" w:type="dxa"/>
          </w:tcPr>
          <w:p w14:paraId="2E2D9417" w14:textId="0F65820E" w:rsidR="00B475C1" w:rsidRPr="00FE06B2" w:rsidRDefault="00B475C1" w:rsidP="00B475C1">
            <w:pPr>
              <w:jc w:val="both"/>
              <w:rPr>
                <w:rFonts w:asciiTheme="minorHAnsi" w:hAnsiTheme="minorHAnsi"/>
                <w:sz w:val="20"/>
                <w:szCs w:val="20"/>
              </w:rPr>
            </w:pPr>
            <w:proofErr w:type="spellStart"/>
            <w:r w:rsidRPr="00FE06B2">
              <w:rPr>
                <w:rFonts w:asciiTheme="minorHAnsi" w:hAnsiTheme="minorHAnsi"/>
                <w:sz w:val="20"/>
                <w:szCs w:val="20"/>
              </w:rPr>
              <w:t>Birden</w:t>
            </w:r>
            <w:proofErr w:type="spellEnd"/>
            <w:r w:rsidR="00D556C6">
              <w:rPr>
                <w:rFonts w:asciiTheme="minorHAnsi" w:hAnsiTheme="minorHAnsi"/>
                <w:sz w:val="20"/>
                <w:szCs w:val="20"/>
              </w:rPr>
              <w:t>,</w:t>
            </w:r>
            <w:r w:rsidRPr="00FE06B2">
              <w:rPr>
                <w:rFonts w:asciiTheme="minorHAnsi" w:hAnsiTheme="minorHAnsi"/>
                <w:sz w:val="20"/>
                <w:szCs w:val="20"/>
              </w:rPr>
              <w:t xml:space="preserve"> H</w:t>
            </w:r>
            <w:r w:rsidR="00D556C6">
              <w:rPr>
                <w:rFonts w:asciiTheme="minorHAnsi" w:hAnsiTheme="minorHAnsi"/>
                <w:sz w:val="20"/>
                <w:szCs w:val="20"/>
              </w:rPr>
              <w:t>.</w:t>
            </w:r>
            <w:r w:rsidRPr="00FE06B2">
              <w:rPr>
                <w:rFonts w:asciiTheme="minorHAnsi" w:hAnsiTheme="minorHAnsi"/>
                <w:sz w:val="20"/>
                <w:szCs w:val="20"/>
              </w:rPr>
              <w:t>, Glass</w:t>
            </w:r>
            <w:r w:rsidR="00D556C6">
              <w:rPr>
                <w:rFonts w:asciiTheme="minorHAnsi" w:hAnsiTheme="minorHAnsi"/>
                <w:sz w:val="20"/>
                <w:szCs w:val="20"/>
              </w:rPr>
              <w:t>,</w:t>
            </w:r>
            <w:r w:rsidRPr="00FE06B2">
              <w:rPr>
                <w:rFonts w:asciiTheme="minorHAnsi" w:hAnsiTheme="minorHAnsi"/>
                <w:sz w:val="20"/>
                <w:szCs w:val="20"/>
              </w:rPr>
              <w:t xml:space="preserve"> N</w:t>
            </w:r>
            <w:r w:rsidR="00D556C6">
              <w:rPr>
                <w:rFonts w:asciiTheme="minorHAnsi" w:hAnsiTheme="minorHAnsi"/>
                <w:sz w:val="20"/>
                <w:szCs w:val="20"/>
              </w:rPr>
              <w:t>.</w:t>
            </w:r>
            <w:r w:rsidRPr="00FE06B2">
              <w:rPr>
                <w:rFonts w:asciiTheme="minorHAnsi" w:hAnsiTheme="minorHAnsi"/>
                <w:sz w:val="20"/>
                <w:szCs w:val="20"/>
              </w:rPr>
              <w:t>, Wilson</w:t>
            </w:r>
            <w:r w:rsidR="00D556C6">
              <w:rPr>
                <w:rFonts w:asciiTheme="minorHAnsi" w:hAnsiTheme="minorHAnsi"/>
                <w:sz w:val="20"/>
                <w:szCs w:val="20"/>
              </w:rPr>
              <w:t>,</w:t>
            </w:r>
            <w:r w:rsidRPr="00FE06B2">
              <w:rPr>
                <w:rFonts w:asciiTheme="minorHAnsi" w:hAnsiTheme="minorHAnsi"/>
                <w:sz w:val="20"/>
                <w:szCs w:val="20"/>
              </w:rPr>
              <w:t xml:space="preserve"> I</w:t>
            </w:r>
            <w:r w:rsidR="00D556C6">
              <w:rPr>
                <w:rFonts w:asciiTheme="minorHAnsi" w:hAnsiTheme="minorHAnsi"/>
                <w:sz w:val="20"/>
                <w:szCs w:val="20"/>
              </w:rPr>
              <w:t>.</w:t>
            </w:r>
            <w:r>
              <w:rPr>
                <w:rFonts w:asciiTheme="minorHAnsi" w:hAnsiTheme="minorHAnsi"/>
                <w:sz w:val="20"/>
                <w:szCs w:val="20"/>
              </w:rPr>
              <w:t>,</w:t>
            </w:r>
            <w:r w:rsidRPr="00FE06B2">
              <w:rPr>
                <w:rFonts w:asciiTheme="minorHAnsi" w:hAnsiTheme="minorHAnsi"/>
                <w:sz w:val="20"/>
                <w:szCs w:val="20"/>
              </w:rPr>
              <w:t xml:space="preserve"> et al. </w:t>
            </w:r>
            <w:r>
              <w:rPr>
                <w:rFonts w:asciiTheme="minorHAnsi" w:hAnsiTheme="minorHAnsi"/>
                <w:sz w:val="20"/>
                <w:szCs w:val="20"/>
              </w:rPr>
              <w:t xml:space="preserve"> </w:t>
            </w:r>
            <w:r w:rsidRPr="00FE06B2">
              <w:rPr>
                <w:rFonts w:asciiTheme="minorHAnsi" w:hAnsiTheme="minorHAnsi"/>
                <w:sz w:val="20"/>
                <w:szCs w:val="20"/>
              </w:rPr>
              <w:t>Teaching</w:t>
            </w:r>
            <w:r>
              <w:rPr>
                <w:rFonts w:asciiTheme="minorHAnsi" w:hAnsiTheme="minorHAnsi"/>
                <w:sz w:val="20"/>
                <w:szCs w:val="20"/>
              </w:rPr>
              <w:t xml:space="preserve"> </w:t>
            </w:r>
            <w:r w:rsidRPr="00FE06B2">
              <w:rPr>
                <w:rFonts w:asciiTheme="minorHAnsi" w:hAnsiTheme="minorHAnsi"/>
                <w:sz w:val="20"/>
                <w:szCs w:val="20"/>
              </w:rPr>
              <w:t xml:space="preserve">professionalism in medical education: A Best Evidence Medical Education (BEME) systematic review. </w:t>
            </w:r>
            <w:r>
              <w:rPr>
                <w:rFonts w:asciiTheme="minorHAnsi" w:hAnsiTheme="minorHAnsi"/>
                <w:sz w:val="20"/>
                <w:szCs w:val="20"/>
              </w:rPr>
              <w:t xml:space="preserve"> </w:t>
            </w:r>
            <w:r w:rsidRPr="00FE06B2">
              <w:rPr>
                <w:rFonts w:asciiTheme="minorHAnsi" w:hAnsiTheme="minorHAnsi"/>
                <w:sz w:val="20"/>
                <w:szCs w:val="20"/>
              </w:rPr>
              <w:t>BEME Guide No. 25. Medical Teacher 2013; 35: e1252-e1266</w:t>
            </w:r>
          </w:p>
          <w:p w14:paraId="259705B5" w14:textId="77777777" w:rsidR="00B475C1" w:rsidRDefault="00B475C1" w:rsidP="00B475C1">
            <w:pPr>
              <w:jc w:val="both"/>
              <w:rPr>
                <w:rFonts w:asciiTheme="minorHAnsi" w:hAnsiTheme="minorHAnsi"/>
                <w:sz w:val="20"/>
                <w:szCs w:val="20"/>
              </w:rPr>
            </w:pPr>
          </w:p>
          <w:p w14:paraId="2DC2B1F1" w14:textId="58BA76D9" w:rsidR="00B475C1" w:rsidRPr="00FE06B2" w:rsidRDefault="00B475C1" w:rsidP="00B475C1">
            <w:pPr>
              <w:jc w:val="both"/>
              <w:rPr>
                <w:rFonts w:asciiTheme="minorHAnsi" w:hAnsiTheme="minorHAnsi"/>
                <w:sz w:val="20"/>
                <w:szCs w:val="20"/>
              </w:rPr>
            </w:pPr>
            <w:r w:rsidRPr="00FE06B2">
              <w:rPr>
                <w:rFonts w:asciiTheme="minorHAnsi" w:hAnsiTheme="minorHAnsi"/>
                <w:sz w:val="20"/>
                <w:szCs w:val="20"/>
              </w:rPr>
              <w:t>Cooper</w:t>
            </w:r>
            <w:r w:rsidR="00D556C6">
              <w:rPr>
                <w:rFonts w:asciiTheme="minorHAnsi" w:hAnsiTheme="minorHAnsi"/>
                <w:sz w:val="20"/>
                <w:szCs w:val="20"/>
              </w:rPr>
              <w:t>,</w:t>
            </w:r>
            <w:r w:rsidRPr="00FE06B2">
              <w:rPr>
                <w:rFonts w:asciiTheme="minorHAnsi" w:hAnsiTheme="minorHAnsi"/>
                <w:sz w:val="20"/>
                <w:szCs w:val="20"/>
              </w:rPr>
              <w:t xml:space="preserve"> N</w:t>
            </w:r>
            <w:r w:rsidR="00D556C6">
              <w:rPr>
                <w:rFonts w:asciiTheme="minorHAnsi" w:hAnsiTheme="minorHAnsi"/>
                <w:sz w:val="20"/>
                <w:szCs w:val="20"/>
              </w:rPr>
              <w:t>.</w:t>
            </w:r>
            <w:r w:rsidRPr="00FE06B2">
              <w:rPr>
                <w:rFonts w:asciiTheme="minorHAnsi" w:hAnsiTheme="minorHAnsi"/>
                <w:sz w:val="20"/>
                <w:szCs w:val="20"/>
              </w:rPr>
              <w:t>, Frain</w:t>
            </w:r>
            <w:r w:rsidR="00D556C6">
              <w:rPr>
                <w:rFonts w:asciiTheme="minorHAnsi" w:hAnsiTheme="minorHAnsi"/>
                <w:sz w:val="20"/>
                <w:szCs w:val="20"/>
              </w:rPr>
              <w:t>,</w:t>
            </w:r>
            <w:r w:rsidRPr="00FE06B2">
              <w:rPr>
                <w:rFonts w:asciiTheme="minorHAnsi" w:hAnsiTheme="minorHAnsi"/>
                <w:sz w:val="20"/>
                <w:szCs w:val="20"/>
              </w:rPr>
              <w:t xml:space="preserve"> A</w:t>
            </w:r>
            <w:r w:rsidR="00D556C6">
              <w:rPr>
                <w:rFonts w:asciiTheme="minorHAnsi" w:hAnsiTheme="minorHAnsi"/>
                <w:sz w:val="20"/>
                <w:szCs w:val="20"/>
              </w:rPr>
              <w:t>.</w:t>
            </w:r>
            <w:r w:rsidRPr="00FE06B2">
              <w:rPr>
                <w:rFonts w:asciiTheme="minorHAnsi" w:hAnsiTheme="minorHAnsi"/>
                <w:sz w:val="20"/>
                <w:szCs w:val="20"/>
              </w:rPr>
              <w:t>, Frain</w:t>
            </w:r>
            <w:r w:rsidR="00D556C6">
              <w:rPr>
                <w:rFonts w:asciiTheme="minorHAnsi" w:hAnsiTheme="minorHAnsi"/>
                <w:sz w:val="20"/>
                <w:szCs w:val="20"/>
              </w:rPr>
              <w:t>,</w:t>
            </w:r>
            <w:r w:rsidRPr="00FE06B2">
              <w:rPr>
                <w:rFonts w:asciiTheme="minorHAnsi" w:hAnsiTheme="minorHAnsi"/>
                <w:sz w:val="20"/>
                <w:szCs w:val="20"/>
              </w:rPr>
              <w:t xml:space="preserve"> J</w:t>
            </w:r>
            <w:r w:rsidR="00D556C6">
              <w:rPr>
                <w:rFonts w:asciiTheme="minorHAnsi" w:hAnsiTheme="minorHAnsi"/>
                <w:sz w:val="20"/>
                <w:szCs w:val="20"/>
              </w:rPr>
              <w:t>.</w:t>
            </w:r>
            <w:r w:rsidRPr="00FE06B2">
              <w:rPr>
                <w:rFonts w:asciiTheme="minorHAnsi" w:hAnsiTheme="minorHAnsi"/>
                <w:sz w:val="20"/>
                <w:szCs w:val="20"/>
              </w:rPr>
              <w:t xml:space="preserve"> (</w:t>
            </w:r>
            <w:r>
              <w:rPr>
                <w:rFonts w:asciiTheme="minorHAnsi" w:hAnsiTheme="minorHAnsi"/>
                <w:sz w:val="20"/>
                <w:szCs w:val="20"/>
              </w:rPr>
              <w:t>eds</w:t>
            </w:r>
            <w:r w:rsidRPr="00FE06B2">
              <w:rPr>
                <w:rFonts w:asciiTheme="minorHAnsi" w:hAnsiTheme="minorHAnsi"/>
                <w:sz w:val="20"/>
                <w:szCs w:val="20"/>
              </w:rPr>
              <w:t>)</w:t>
            </w:r>
            <w:r>
              <w:rPr>
                <w:rFonts w:asciiTheme="minorHAnsi" w:hAnsiTheme="minorHAnsi"/>
                <w:sz w:val="20"/>
                <w:szCs w:val="20"/>
              </w:rPr>
              <w:t>.</w:t>
            </w:r>
            <w:r w:rsidRPr="00FE06B2">
              <w:rPr>
                <w:rFonts w:asciiTheme="minorHAnsi" w:hAnsiTheme="minorHAnsi"/>
                <w:sz w:val="20"/>
                <w:szCs w:val="20"/>
              </w:rPr>
              <w:t xml:space="preserve"> </w:t>
            </w:r>
            <w:r>
              <w:rPr>
                <w:rFonts w:asciiTheme="minorHAnsi" w:hAnsiTheme="minorHAnsi"/>
                <w:sz w:val="20"/>
                <w:szCs w:val="20"/>
              </w:rPr>
              <w:t xml:space="preserve">  </w:t>
            </w:r>
            <w:r w:rsidRPr="00FE06B2">
              <w:rPr>
                <w:rFonts w:asciiTheme="minorHAnsi" w:hAnsiTheme="minorHAnsi"/>
                <w:sz w:val="20"/>
                <w:szCs w:val="20"/>
              </w:rPr>
              <w:t xml:space="preserve">ABC of clinical professionalism. Wiley Blackwell. </w:t>
            </w:r>
            <w:r>
              <w:rPr>
                <w:rFonts w:asciiTheme="minorHAnsi" w:hAnsiTheme="minorHAnsi"/>
                <w:sz w:val="20"/>
                <w:szCs w:val="20"/>
              </w:rPr>
              <w:t xml:space="preserve"> </w:t>
            </w:r>
            <w:r w:rsidRPr="00FE06B2">
              <w:rPr>
                <w:rFonts w:asciiTheme="minorHAnsi" w:hAnsiTheme="minorHAnsi"/>
                <w:sz w:val="20"/>
                <w:szCs w:val="20"/>
              </w:rPr>
              <w:t>London, 2018</w:t>
            </w:r>
          </w:p>
          <w:p w14:paraId="21314571" w14:textId="77777777" w:rsidR="00B475C1" w:rsidRPr="00FE06B2" w:rsidRDefault="00B475C1" w:rsidP="00B475C1">
            <w:pPr>
              <w:jc w:val="both"/>
              <w:rPr>
                <w:rFonts w:asciiTheme="minorHAnsi" w:hAnsiTheme="minorHAnsi"/>
                <w:sz w:val="20"/>
                <w:szCs w:val="20"/>
              </w:rPr>
            </w:pPr>
          </w:p>
          <w:p w14:paraId="7A41C030" w14:textId="77777777" w:rsidR="00B475C1" w:rsidRPr="00FE06B2" w:rsidRDefault="00B475C1" w:rsidP="00B475C1">
            <w:pPr>
              <w:jc w:val="both"/>
              <w:rPr>
                <w:rFonts w:asciiTheme="minorHAnsi" w:hAnsiTheme="minorHAnsi"/>
                <w:sz w:val="20"/>
                <w:szCs w:val="20"/>
              </w:rPr>
            </w:pPr>
            <w:r w:rsidRPr="00FE06B2">
              <w:rPr>
                <w:rFonts w:asciiTheme="minorHAnsi" w:hAnsiTheme="minorHAnsi"/>
                <w:sz w:val="20"/>
                <w:szCs w:val="20"/>
              </w:rPr>
              <w:t>Ethics Man series in British Medical Journal</w:t>
            </w:r>
          </w:p>
          <w:p w14:paraId="4776DDDC" w14:textId="77777777" w:rsidR="00B475C1" w:rsidRPr="00FE06B2" w:rsidRDefault="00B475C1" w:rsidP="00B475C1">
            <w:pPr>
              <w:jc w:val="both"/>
              <w:rPr>
                <w:rFonts w:asciiTheme="minorHAnsi" w:hAnsiTheme="minorHAnsi"/>
                <w:color w:val="000000"/>
                <w:sz w:val="20"/>
                <w:szCs w:val="20"/>
              </w:rPr>
            </w:pPr>
          </w:p>
          <w:p w14:paraId="362A1478" w14:textId="77777777" w:rsidR="00B475C1" w:rsidRDefault="00B475C1" w:rsidP="00B475C1">
            <w:pPr>
              <w:jc w:val="both"/>
              <w:rPr>
                <w:rFonts w:asciiTheme="minorHAnsi" w:hAnsiTheme="minorHAnsi"/>
                <w:sz w:val="20"/>
                <w:szCs w:val="20"/>
              </w:rPr>
            </w:pPr>
            <w:r w:rsidRPr="00FE06B2">
              <w:rPr>
                <w:rFonts w:asciiTheme="minorHAnsi" w:hAnsiTheme="minorHAnsi"/>
                <w:color w:val="000000"/>
                <w:sz w:val="20"/>
                <w:szCs w:val="20"/>
              </w:rPr>
              <w:t>General Medical Council (UK):</w:t>
            </w:r>
            <w:r w:rsidRPr="00FE06B2">
              <w:rPr>
                <w:rFonts w:asciiTheme="minorHAnsi" w:hAnsiTheme="minorHAnsi"/>
                <w:sz w:val="20"/>
                <w:szCs w:val="20"/>
              </w:rPr>
              <w:t xml:space="preserve">  interactive website – Medical Students: Professional Values in action: </w:t>
            </w:r>
            <w:hyperlink r:id="rId15" w:history="1">
              <w:r w:rsidRPr="00FE06B2">
                <w:rPr>
                  <w:rStyle w:val="Hyperlink"/>
                  <w:rFonts w:asciiTheme="minorHAnsi" w:hAnsiTheme="minorHAnsi"/>
                  <w:sz w:val="20"/>
                  <w:szCs w:val="20"/>
                </w:rPr>
                <w:t>https://www.gmc-uk.org/static/media/Medical_Students/index.html</w:t>
              </w:r>
            </w:hyperlink>
            <w:r w:rsidRPr="00FE06B2">
              <w:rPr>
                <w:rFonts w:asciiTheme="minorHAnsi" w:hAnsiTheme="minorHAnsi"/>
                <w:sz w:val="20"/>
                <w:szCs w:val="20"/>
              </w:rPr>
              <w:t xml:space="preserve"> </w:t>
            </w:r>
          </w:p>
          <w:p w14:paraId="07600761" w14:textId="77777777" w:rsidR="00B475C1" w:rsidRDefault="00B475C1" w:rsidP="00B475C1">
            <w:pPr>
              <w:jc w:val="both"/>
              <w:rPr>
                <w:rFonts w:asciiTheme="minorHAnsi" w:hAnsiTheme="minorHAnsi"/>
                <w:sz w:val="20"/>
                <w:szCs w:val="20"/>
              </w:rPr>
            </w:pPr>
          </w:p>
          <w:p w14:paraId="0A07C82B" w14:textId="77777777" w:rsidR="00B475C1" w:rsidRPr="00FE06B2" w:rsidRDefault="00B475C1" w:rsidP="00B475C1">
            <w:pPr>
              <w:jc w:val="both"/>
              <w:rPr>
                <w:rFonts w:asciiTheme="minorHAnsi" w:hAnsiTheme="minorHAnsi"/>
                <w:sz w:val="20"/>
                <w:szCs w:val="20"/>
              </w:rPr>
            </w:pPr>
            <w:r>
              <w:rPr>
                <w:rFonts w:asciiTheme="minorHAnsi" w:hAnsiTheme="minorHAnsi"/>
                <w:sz w:val="20"/>
                <w:szCs w:val="20"/>
              </w:rPr>
              <w:t>G</w:t>
            </w:r>
            <w:r w:rsidRPr="00500575">
              <w:rPr>
                <w:rFonts w:asciiTheme="minorHAnsi" w:hAnsiTheme="minorHAnsi" w:cstheme="minorHAnsi"/>
                <w:sz w:val="20"/>
                <w:szCs w:val="20"/>
              </w:rPr>
              <w:t xml:space="preserve">eneral Medical Council: Teaching Professionalism: </w:t>
            </w:r>
            <w:hyperlink r:id="rId16" w:history="1">
              <w:r w:rsidRPr="00500575">
                <w:rPr>
                  <w:rStyle w:val="Hyperlink"/>
                  <w:rFonts w:asciiTheme="minorHAnsi" w:eastAsiaTheme="majorEastAsia" w:hAnsiTheme="minorHAnsi" w:cstheme="minorHAnsi"/>
                  <w:sz w:val="20"/>
                  <w:szCs w:val="20"/>
                </w:rPr>
                <w:t>https://www.gmc-uk.org/education/standards-guidance-and-curricula/guidance/student-professionalism-and-ftp/professionalism-in-teaching</w:t>
              </w:r>
            </w:hyperlink>
          </w:p>
          <w:p w14:paraId="6796C860" w14:textId="77777777" w:rsidR="00B475C1" w:rsidRDefault="00B475C1" w:rsidP="00B475C1">
            <w:pPr>
              <w:jc w:val="both"/>
              <w:rPr>
                <w:rFonts w:asciiTheme="minorHAnsi" w:hAnsiTheme="minorHAnsi"/>
                <w:color w:val="FF0000"/>
                <w:sz w:val="20"/>
                <w:szCs w:val="20"/>
              </w:rPr>
            </w:pPr>
          </w:p>
          <w:p w14:paraId="1E91F1E7" w14:textId="163DBA9A" w:rsidR="00B475C1" w:rsidRPr="00FE06B2" w:rsidRDefault="00B475C1" w:rsidP="00B475C1">
            <w:pPr>
              <w:jc w:val="both"/>
              <w:rPr>
                <w:rFonts w:asciiTheme="minorHAnsi" w:hAnsiTheme="minorHAnsi"/>
                <w:sz w:val="20"/>
                <w:szCs w:val="20"/>
              </w:rPr>
            </w:pPr>
            <w:r w:rsidRPr="00FE06B2">
              <w:rPr>
                <w:rFonts w:asciiTheme="minorHAnsi" w:hAnsiTheme="minorHAnsi"/>
                <w:sz w:val="20"/>
                <w:szCs w:val="20"/>
              </w:rPr>
              <w:t>Hilton</w:t>
            </w:r>
            <w:r w:rsidR="00D556C6">
              <w:rPr>
                <w:rFonts w:asciiTheme="minorHAnsi" w:hAnsiTheme="minorHAnsi"/>
                <w:sz w:val="20"/>
                <w:szCs w:val="20"/>
              </w:rPr>
              <w:t>,</w:t>
            </w:r>
            <w:r w:rsidRPr="00FE06B2">
              <w:rPr>
                <w:rFonts w:asciiTheme="minorHAnsi" w:hAnsiTheme="minorHAnsi"/>
                <w:sz w:val="20"/>
                <w:szCs w:val="20"/>
              </w:rPr>
              <w:t xml:space="preserve"> S</w:t>
            </w:r>
            <w:r w:rsidR="00D556C6">
              <w:rPr>
                <w:rFonts w:asciiTheme="minorHAnsi" w:hAnsiTheme="minorHAnsi"/>
                <w:sz w:val="20"/>
                <w:szCs w:val="20"/>
              </w:rPr>
              <w:t>.</w:t>
            </w:r>
            <w:r w:rsidRPr="00FE06B2">
              <w:rPr>
                <w:rFonts w:asciiTheme="minorHAnsi" w:hAnsiTheme="minorHAnsi"/>
                <w:sz w:val="20"/>
                <w:szCs w:val="20"/>
              </w:rPr>
              <w:t>R</w:t>
            </w:r>
            <w:r w:rsidR="00D556C6">
              <w:rPr>
                <w:rFonts w:asciiTheme="minorHAnsi" w:hAnsiTheme="minorHAnsi"/>
                <w:sz w:val="20"/>
                <w:szCs w:val="20"/>
              </w:rPr>
              <w:t>.</w:t>
            </w:r>
            <w:r w:rsidRPr="00FE06B2">
              <w:rPr>
                <w:rFonts w:asciiTheme="minorHAnsi" w:hAnsiTheme="minorHAnsi"/>
                <w:sz w:val="20"/>
                <w:szCs w:val="20"/>
              </w:rPr>
              <w:t xml:space="preserve">, </w:t>
            </w:r>
            <w:proofErr w:type="spellStart"/>
            <w:r w:rsidRPr="00FE06B2">
              <w:rPr>
                <w:rFonts w:asciiTheme="minorHAnsi" w:hAnsiTheme="minorHAnsi"/>
                <w:sz w:val="20"/>
                <w:szCs w:val="20"/>
              </w:rPr>
              <w:t>Slotnick</w:t>
            </w:r>
            <w:proofErr w:type="spellEnd"/>
            <w:r w:rsidR="00D556C6">
              <w:rPr>
                <w:rFonts w:asciiTheme="minorHAnsi" w:hAnsiTheme="minorHAnsi"/>
                <w:sz w:val="20"/>
                <w:szCs w:val="20"/>
              </w:rPr>
              <w:t>,</w:t>
            </w:r>
            <w:r w:rsidRPr="00FE06B2">
              <w:rPr>
                <w:rFonts w:asciiTheme="minorHAnsi" w:hAnsiTheme="minorHAnsi"/>
                <w:sz w:val="20"/>
                <w:szCs w:val="20"/>
              </w:rPr>
              <w:t xml:space="preserve"> H</w:t>
            </w:r>
            <w:proofErr w:type="gramStart"/>
            <w:r w:rsidR="00D556C6">
              <w:rPr>
                <w:rFonts w:asciiTheme="minorHAnsi" w:hAnsiTheme="minorHAnsi"/>
                <w:sz w:val="20"/>
                <w:szCs w:val="20"/>
              </w:rPr>
              <w:t>,</w:t>
            </w:r>
            <w:r w:rsidRPr="00FE06B2">
              <w:rPr>
                <w:rFonts w:asciiTheme="minorHAnsi" w:hAnsiTheme="minorHAnsi"/>
                <w:sz w:val="20"/>
                <w:szCs w:val="20"/>
              </w:rPr>
              <w:t>B</w:t>
            </w:r>
            <w:proofErr w:type="gramEnd"/>
            <w:r w:rsidRPr="00FE06B2">
              <w:rPr>
                <w:rFonts w:asciiTheme="minorHAnsi" w:hAnsiTheme="minorHAnsi"/>
                <w:sz w:val="20"/>
                <w:szCs w:val="20"/>
              </w:rPr>
              <w:t>. Proto</w:t>
            </w:r>
            <w:r w:rsidRPr="00FE06B2">
              <w:rPr>
                <w:rFonts w:asciiTheme="minorHAnsi" w:hAnsiTheme="minorHAnsi" w:cs="Cambria Math"/>
                <w:sz w:val="20"/>
                <w:szCs w:val="20"/>
              </w:rPr>
              <w:t>‐</w:t>
            </w:r>
            <w:r w:rsidRPr="00FE06B2">
              <w:rPr>
                <w:rFonts w:asciiTheme="minorHAnsi" w:hAnsiTheme="minorHAnsi"/>
                <w:sz w:val="20"/>
                <w:szCs w:val="20"/>
              </w:rPr>
              <w:t xml:space="preserve">professionalism: how professionalisation occurs across the continuum of medical education. </w:t>
            </w:r>
            <w:r>
              <w:rPr>
                <w:rFonts w:asciiTheme="minorHAnsi" w:hAnsiTheme="minorHAnsi"/>
                <w:sz w:val="20"/>
                <w:szCs w:val="20"/>
              </w:rPr>
              <w:t xml:space="preserve"> </w:t>
            </w:r>
            <w:r w:rsidRPr="00FE06B2">
              <w:rPr>
                <w:rFonts w:asciiTheme="minorHAnsi" w:hAnsiTheme="minorHAnsi"/>
                <w:sz w:val="20"/>
                <w:szCs w:val="20"/>
              </w:rPr>
              <w:t>Medical Education 2005 39 58-65</w:t>
            </w:r>
          </w:p>
          <w:p w14:paraId="5FF9FB64" w14:textId="77777777" w:rsidR="00B475C1" w:rsidRDefault="00B475C1" w:rsidP="00B475C1">
            <w:pPr>
              <w:jc w:val="both"/>
              <w:rPr>
                <w:rFonts w:asciiTheme="minorHAnsi" w:hAnsiTheme="minorHAnsi"/>
                <w:sz w:val="20"/>
                <w:szCs w:val="20"/>
              </w:rPr>
            </w:pPr>
          </w:p>
          <w:p w14:paraId="142E0851" w14:textId="77777777" w:rsidR="00B475C1" w:rsidRPr="00FE06B2" w:rsidRDefault="00B475C1" w:rsidP="00B475C1">
            <w:pPr>
              <w:jc w:val="both"/>
              <w:rPr>
                <w:rFonts w:asciiTheme="minorHAnsi" w:hAnsiTheme="minorHAnsi"/>
                <w:sz w:val="20"/>
                <w:szCs w:val="20"/>
              </w:rPr>
            </w:pPr>
            <w:r w:rsidRPr="00FE06B2">
              <w:rPr>
                <w:rFonts w:asciiTheme="minorHAnsi" w:hAnsiTheme="minorHAnsi"/>
                <w:sz w:val="20"/>
                <w:szCs w:val="20"/>
              </w:rPr>
              <w:t xml:space="preserve">Ministry of </w:t>
            </w:r>
            <w:r>
              <w:rPr>
                <w:rFonts w:asciiTheme="minorHAnsi" w:hAnsiTheme="minorHAnsi"/>
                <w:sz w:val="20"/>
                <w:szCs w:val="20"/>
              </w:rPr>
              <w:t>E</w:t>
            </w:r>
            <w:r w:rsidRPr="00FE06B2">
              <w:rPr>
                <w:rFonts w:asciiTheme="minorHAnsi" w:hAnsiTheme="minorHAnsi"/>
                <w:sz w:val="20"/>
                <w:szCs w:val="20"/>
              </w:rPr>
              <w:t xml:space="preserve">thics: </w:t>
            </w:r>
            <w:hyperlink r:id="rId17" w:history="1">
              <w:r w:rsidRPr="00FE06B2">
                <w:rPr>
                  <w:rStyle w:val="Hyperlink"/>
                  <w:rFonts w:asciiTheme="minorHAnsi" w:hAnsiTheme="minorHAnsi"/>
                  <w:sz w:val="20"/>
                  <w:szCs w:val="20"/>
                </w:rPr>
                <w:t>http://ministryofethics.co.uk/index.php</w:t>
              </w:r>
            </w:hyperlink>
            <w:r w:rsidRPr="00FE06B2">
              <w:rPr>
                <w:rFonts w:asciiTheme="minorHAnsi" w:hAnsiTheme="minorHAnsi"/>
                <w:sz w:val="20"/>
                <w:szCs w:val="20"/>
              </w:rPr>
              <w:t xml:space="preserve"> </w:t>
            </w:r>
          </w:p>
          <w:p w14:paraId="4501CEDC" w14:textId="77777777" w:rsidR="00B475C1" w:rsidRDefault="00B475C1" w:rsidP="00B475C1">
            <w:pPr>
              <w:jc w:val="both"/>
              <w:rPr>
                <w:rFonts w:asciiTheme="minorHAnsi" w:hAnsiTheme="minorHAnsi"/>
                <w:sz w:val="20"/>
                <w:szCs w:val="20"/>
              </w:rPr>
            </w:pPr>
          </w:p>
          <w:p w14:paraId="7169BA0A" w14:textId="6F0707CE" w:rsidR="00B475C1" w:rsidRPr="00FE06B2" w:rsidRDefault="00B475C1" w:rsidP="00B475C1">
            <w:pPr>
              <w:jc w:val="both"/>
              <w:rPr>
                <w:rFonts w:asciiTheme="minorHAnsi" w:hAnsiTheme="minorHAnsi"/>
                <w:sz w:val="20"/>
                <w:szCs w:val="20"/>
              </w:rPr>
            </w:pPr>
            <w:r w:rsidRPr="00FE06B2">
              <w:rPr>
                <w:rFonts w:asciiTheme="minorHAnsi" w:hAnsiTheme="minorHAnsi"/>
                <w:sz w:val="20"/>
                <w:szCs w:val="20"/>
              </w:rPr>
              <w:t>O’Sullivan</w:t>
            </w:r>
            <w:r w:rsidR="00D556C6">
              <w:rPr>
                <w:rFonts w:asciiTheme="minorHAnsi" w:hAnsiTheme="minorHAnsi"/>
                <w:sz w:val="20"/>
                <w:szCs w:val="20"/>
              </w:rPr>
              <w:t>,</w:t>
            </w:r>
            <w:r w:rsidRPr="00FE06B2">
              <w:rPr>
                <w:rFonts w:asciiTheme="minorHAnsi" w:hAnsiTheme="minorHAnsi"/>
                <w:sz w:val="20"/>
                <w:szCs w:val="20"/>
              </w:rPr>
              <w:t xml:space="preserve"> H</w:t>
            </w:r>
            <w:r w:rsidR="00D556C6">
              <w:rPr>
                <w:rFonts w:asciiTheme="minorHAnsi" w:hAnsiTheme="minorHAnsi"/>
                <w:sz w:val="20"/>
                <w:szCs w:val="20"/>
              </w:rPr>
              <w:t>.</w:t>
            </w:r>
            <w:r w:rsidRPr="00FE06B2">
              <w:rPr>
                <w:rFonts w:asciiTheme="minorHAnsi" w:hAnsiTheme="minorHAnsi"/>
                <w:sz w:val="20"/>
                <w:szCs w:val="20"/>
              </w:rPr>
              <w:t xml:space="preserve">, Van </w:t>
            </w:r>
            <w:proofErr w:type="spellStart"/>
            <w:r w:rsidRPr="00FE06B2">
              <w:rPr>
                <w:rFonts w:asciiTheme="minorHAnsi" w:hAnsiTheme="minorHAnsi"/>
                <w:sz w:val="20"/>
                <w:szCs w:val="20"/>
              </w:rPr>
              <w:t>Mook</w:t>
            </w:r>
            <w:proofErr w:type="spellEnd"/>
            <w:r w:rsidR="00D556C6">
              <w:rPr>
                <w:rFonts w:asciiTheme="minorHAnsi" w:hAnsiTheme="minorHAnsi"/>
                <w:sz w:val="20"/>
                <w:szCs w:val="20"/>
              </w:rPr>
              <w:t>,</w:t>
            </w:r>
            <w:r w:rsidRPr="00FE06B2">
              <w:rPr>
                <w:rFonts w:asciiTheme="minorHAnsi" w:hAnsiTheme="minorHAnsi"/>
                <w:sz w:val="20"/>
                <w:szCs w:val="20"/>
              </w:rPr>
              <w:t xml:space="preserve"> W</w:t>
            </w:r>
            <w:r w:rsidR="00D556C6">
              <w:rPr>
                <w:rFonts w:asciiTheme="minorHAnsi" w:hAnsiTheme="minorHAnsi"/>
                <w:sz w:val="20"/>
                <w:szCs w:val="20"/>
              </w:rPr>
              <w:t>.</w:t>
            </w:r>
            <w:r w:rsidRPr="00FE06B2">
              <w:rPr>
                <w:rFonts w:asciiTheme="minorHAnsi" w:hAnsiTheme="minorHAnsi"/>
                <w:sz w:val="20"/>
                <w:szCs w:val="20"/>
              </w:rPr>
              <w:t xml:space="preserve">, </w:t>
            </w:r>
            <w:proofErr w:type="spellStart"/>
            <w:r w:rsidRPr="00FE06B2">
              <w:rPr>
                <w:rFonts w:asciiTheme="minorHAnsi" w:hAnsiTheme="minorHAnsi"/>
                <w:sz w:val="20"/>
                <w:szCs w:val="20"/>
              </w:rPr>
              <w:t>Fewtrell</w:t>
            </w:r>
            <w:proofErr w:type="spellEnd"/>
            <w:r w:rsidR="00D556C6">
              <w:rPr>
                <w:rFonts w:asciiTheme="minorHAnsi" w:hAnsiTheme="minorHAnsi"/>
                <w:sz w:val="20"/>
                <w:szCs w:val="20"/>
              </w:rPr>
              <w:t>,</w:t>
            </w:r>
            <w:r w:rsidRPr="00FE06B2">
              <w:rPr>
                <w:rFonts w:asciiTheme="minorHAnsi" w:hAnsiTheme="minorHAnsi"/>
                <w:sz w:val="20"/>
                <w:szCs w:val="20"/>
              </w:rPr>
              <w:t xml:space="preserve"> R</w:t>
            </w:r>
            <w:r w:rsidR="00D556C6">
              <w:rPr>
                <w:rFonts w:asciiTheme="minorHAnsi" w:hAnsiTheme="minorHAnsi"/>
                <w:sz w:val="20"/>
                <w:szCs w:val="20"/>
              </w:rPr>
              <w:t>.</w:t>
            </w:r>
            <w:r w:rsidRPr="00FE06B2">
              <w:rPr>
                <w:rFonts w:asciiTheme="minorHAnsi" w:hAnsiTheme="minorHAnsi"/>
                <w:sz w:val="20"/>
                <w:szCs w:val="20"/>
              </w:rPr>
              <w:t>, Wass</w:t>
            </w:r>
            <w:r w:rsidR="00D556C6">
              <w:rPr>
                <w:rFonts w:asciiTheme="minorHAnsi" w:hAnsiTheme="minorHAnsi"/>
                <w:sz w:val="20"/>
                <w:szCs w:val="20"/>
              </w:rPr>
              <w:t>,</w:t>
            </w:r>
            <w:r w:rsidRPr="00FE06B2">
              <w:rPr>
                <w:rFonts w:asciiTheme="minorHAnsi" w:hAnsiTheme="minorHAnsi"/>
                <w:sz w:val="20"/>
                <w:szCs w:val="20"/>
              </w:rPr>
              <w:t xml:space="preserve"> V. </w:t>
            </w:r>
            <w:r>
              <w:rPr>
                <w:rFonts w:asciiTheme="minorHAnsi" w:hAnsiTheme="minorHAnsi"/>
                <w:sz w:val="20"/>
                <w:szCs w:val="20"/>
              </w:rPr>
              <w:t xml:space="preserve"> </w:t>
            </w:r>
            <w:r w:rsidRPr="00FE06B2">
              <w:rPr>
                <w:rFonts w:asciiTheme="minorHAnsi" w:hAnsiTheme="minorHAnsi"/>
                <w:sz w:val="20"/>
                <w:szCs w:val="20"/>
              </w:rPr>
              <w:t>Integrating professionalism into the curriculum: AMEE guide number 61. Medical Teacher 2012; 34: e64-e77</w:t>
            </w:r>
          </w:p>
          <w:p w14:paraId="001315F6" w14:textId="77777777" w:rsidR="00B475C1" w:rsidRPr="00FE06B2" w:rsidRDefault="00B475C1" w:rsidP="00B475C1">
            <w:pPr>
              <w:jc w:val="both"/>
              <w:rPr>
                <w:rFonts w:asciiTheme="minorHAnsi" w:hAnsiTheme="minorHAnsi"/>
                <w:sz w:val="20"/>
                <w:szCs w:val="20"/>
              </w:rPr>
            </w:pPr>
          </w:p>
          <w:p w14:paraId="773E2973" w14:textId="125D783E" w:rsidR="00B475C1" w:rsidRPr="00FE06B2" w:rsidRDefault="00B475C1" w:rsidP="00B475C1">
            <w:pPr>
              <w:jc w:val="both"/>
              <w:rPr>
                <w:rFonts w:asciiTheme="minorHAnsi" w:hAnsiTheme="minorHAnsi"/>
                <w:sz w:val="20"/>
                <w:szCs w:val="20"/>
              </w:rPr>
            </w:pPr>
            <w:r w:rsidRPr="00FE06B2">
              <w:rPr>
                <w:rFonts w:asciiTheme="minorHAnsi" w:hAnsiTheme="minorHAnsi"/>
                <w:sz w:val="20"/>
                <w:szCs w:val="20"/>
              </w:rPr>
              <w:t>Papadakis, M</w:t>
            </w:r>
            <w:r w:rsidR="00D556C6">
              <w:rPr>
                <w:rFonts w:asciiTheme="minorHAnsi" w:hAnsiTheme="minorHAnsi"/>
                <w:sz w:val="20"/>
                <w:szCs w:val="20"/>
              </w:rPr>
              <w:t>.</w:t>
            </w:r>
            <w:r>
              <w:rPr>
                <w:rFonts w:asciiTheme="minorHAnsi" w:hAnsiTheme="minorHAnsi"/>
                <w:sz w:val="20"/>
                <w:szCs w:val="20"/>
              </w:rPr>
              <w:t>A</w:t>
            </w:r>
            <w:r w:rsidR="00D556C6">
              <w:rPr>
                <w:rFonts w:asciiTheme="minorHAnsi" w:hAnsiTheme="minorHAnsi"/>
                <w:sz w:val="20"/>
                <w:szCs w:val="20"/>
              </w:rPr>
              <w:t>.</w:t>
            </w:r>
            <w:r w:rsidRPr="00FE06B2">
              <w:rPr>
                <w:rFonts w:asciiTheme="minorHAnsi" w:hAnsiTheme="minorHAnsi"/>
                <w:sz w:val="20"/>
                <w:szCs w:val="20"/>
              </w:rPr>
              <w:t xml:space="preserve">, Hodgson, C.S., </w:t>
            </w:r>
            <w:proofErr w:type="spellStart"/>
            <w:r w:rsidRPr="00FE06B2">
              <w:rPr>
                <w:rFonts w:asciiTheme="minorHAnsi" w:hAnsiTheme="minorHAnsi"/>
                <w:sz w:val="20"/>
                <w:szCs w:val="20"/>
              </w:rPr>
              <w:t>Teherani</w:t>
            </w:r>
            <w:proofErr w:type="spellEnd"/>
            <w:r w:rsidRPr="00FE06B2">
              <w:rPr>
                <w:rFonts w:asciiTheme="minorHAnsi" w:hAnsiTheme="minorHAnsi"/>
                <w:sz w:val="20"/>
                <w:szCs w:val="20"/>
              </w:rPr>
              <w:t xml:space="preserve">, A., </w:t>
            </w:r>
            <w:proofErr w:type="spellStart"/>
            <w:r w:rsidRPr="00FE06B2">
              <w:rPr>
                <w:rFonts w:asciiTheme="minorHAnsi" w:hAnsiTheme="minorHAnsi"/>
                <w:sz w:val="20"/>
                <w:szCs w:val="20"/>
              </w:rPr>
              <w:t>Kohatsu</w:t>
            </w:r>
            <w:proofErr w:type="spellEnd"/>
            <w:r w:rsidRPr="00FE06B2">
              <w:rPr>
                <w:rFonts w:asciiTheme="minorHAnsi" w:hAnsiTheme="minorHAnsi"/>
                <w:sz w:val="20"/>
                <w:szCs w:val="20"/>
              </w:rPr>
              <w:t xml:space="preserve">, N.D.  Unprofessional </w:t>
            </w:r>
            <w:proofErr w:type="spellStart"/>
            <w:r w:rsidRPr="00FE06B2">
              <w:rPr>
                <w:rFonts w:asciiTheme="minorHAnsi" w:hAnsiTheme="minorHAnsi"/>
                <w:sz w:val="20"/>
                <w:szCs w:val="20"/>
              </w:rPr>
              <w:t>behavior</w:t>
            </w:r>
            <w:proofErr w:type="spellEnd"/>
            <w:r w:rsidRPr="00FE06B2">
              <w:rPr>
                <w:rFonts w:asciiTheme="minorHAnsi" w:hAnsiTheme="minorHAnsi"/>
                <w:sz w:val="20"/>
                <w:szCs w:val="20"/>
              </w:rPr>
              <w:t xml:space="preserve"> in medical school is associated with subsequent disciplinary action by a state medical board. Academic Medicine. 2004 Mar; 79 (3):244-9.</w:t>
            </w:r>
          </w:p>
          <w:p w14:paraId="26C90BA1" w14:textId="77777777" w:rsidR="00B475C1" w:rsidRPr="00FE06B2" w:rsidRDefault="00B475C1" w:rsidP="00B475C1">
            <w:pPr>
              <w:jc w:val="both"/>
              <w:rPr>
                <w:rFonts w:asciiTheme="minorHAnsi" w:hAnsiTheme="minorHAnsi"/>
                <w:sz w:val="20"/>
                <w:szCs w:val="20"/>
              </w:rPr>
            </w:pPr>
          </w:p>
          <w:p w14:paraId="09CFE181" w14:textId="77777777" w:rsidR="00B475C1" w:rsidRDefault="00B475C1" w:rsidP="00B475C1">
            <w:pPr>
              <w:jc w:val="both"/>
              <w:rPr>
                <w:rFonts w:asciiTheme="minorHAnsi" w:hAnsiTheme="minorHAnsi"/>
                <w:sz w:val="20"/>
                <w:szCs w:val="20"/>
              </w:rPr>
            </w:pPr>
            <w:r w:rsidRPr="004370D7">
              <w:rPr>
                <w:rFonts w:asciiTheme="minorHAnsi" w:hAnsiTheme="minorHAnsi"/>
                <w:sz w:val="20"/>
                <w:szCs w:val="20"/>
              </w:rPr>
              <w:t>Pellegrino</w:t>
            </w:r>
            <w:r>
              <w:rPr>
                <w:rFonts w:asciiTheme="minorHAnsi" w:hAnsiTheme="minorHAnsi"/>
                <w:sz w:val="20"/>
                <w:szCs w:val="20"/>
              </w:rPr>
              <w:t>,</w:t>
            </w:r>
            <w:r w:rsidRPr="004370D7">
              <w:rPr>
                <w:rFonts w:asciiTheme="minorHAnsi" w:hAnsiTheme="minorHAnsi"/>
                <w:sz w:val="20"/>
                <w:szCs w:val="20"/>
              </w:rPr>
              <w:t xml:space="preserve"> E. Professionalism, Profession and the Virtues of the Good Physician. </w:t>
            </w:r>
            <w:r w:rsidRPr="004370D7">
              <w:rPr>
                <w:rFonts w:asciiTheme="minorHAnsi" w:hAnsiTheme="minorHAnsi"/>
                <w:i/>
                <w:sz w:val="20"/>
                <w:szCs w:val="20"/>
              </w:rPr>
              <w:t>Mount Sinai Journal of Medicine</w:t>
            </w:r>
            <w:r w:rsidRPr="004370D7">
              <w:rPr>
                <w:rFonts w:asciiTheme="minorHAnsi" w:hAnsiTheme="minorHAnsi"/>
                <w:sz w:val="20"/>
                <w:szCs w:val="20"/>
              </w:rPr>
              <w:t>. 2002; 69(6): 378-384</w:t>
            </w:r>
          </w:p>
          <w:p w14:paraId="070AC651" w14:textId="77777777" w:rsidR="00B475C1" w:rsidRDefault="00B475C1" w:rsidP="00B475C1">
            <w:pPr>
              <w:jc w:val="both"/>
              <w:rPr>
                <w:rFonts w:asciiTheme="minorHAnsi" w:hAnsiTheme="minorHAnsi"/>
                <w:color w:val="FF0000"/>
                <w:sz w:val="20"/>
                <w:szCs w:val="20"/>
              </w:rPr>
            </w:pPr>
          </w:p>
          <w:p w14:paraId="4366CA99" w14:textId="64B01AB0" w:rsidR="00B475C1" w:rsidRPr="004370D7" w:rsidRDefault="00B475C1" w:rsidP="00B475C1">
            <w:pPr>
              <w:jc w:val="both"/>
              <w:rPr>
                <w:rFonts w:asciiTheme="minorHAnsi" w:hAnsiTheme="minorHAnsi"/>
                <w:sz w:val="20"/>
                <w:szCs w:val="20"/>
              </w:rPr>
            </w:pPr>
            <w:r w:rsidRPr="004370D7">
              <w:rPr>
                <w:rFonts w:asciiTheme="minorHAnsi" w:hAnsiTheme="minorHAnsi"/>
                <w:sz w:val="20"/>
                <w:szCs w:val="20"/>
              </w:rPr>
              <w:t>Tweedie</w:t>
            </w:r>
            <w:r w:rsidR="00D556C6">
              <w:rPr>
                <w:rFonts w:asciiTheme="minorHAnsi" w:hAnsiTheme="minorHAnsi"/>
                <w:sz w:val="20"/>
                <w:szCs w:val="20"/>
              </w:rPr>
              <w:t>,</w:t>
            </w:r>
            <w:r w:rsidRPr="004370D7">
              <w:rPr>
                <w:rFonts w:asciiTheme="minorHAnsi" w:hAnsiTheme="minorHAnsi"/>
                <w:sz w:val="20"/>
                <w:szCs w:val="20"/>
              </w:rPr>
              <w:t xml:space="preserve"> J</w:t>
            </w:r>
            <w:r w:rsidR="00D556C6">
              <w:rPr>
                <w:rFonts w:asciiTheme="minorHAnsi" w:hAnsiTheme="minorHAnsi"/>
                <w:sz w:val="20"/>
                <w:szCs w:val="20"/>
              </w:rPr>
              <w:t>.</w:t>
            </w:r>
            <w:r w:rsidRPr="004370D7">
              <w:rPr>
                <w:rFonts w:asciiTheme="minorHAnsi" w:hAnsiTheme="minorHAnsi"/>
                <w:sz w:val="20"/>
                <w:szCs w:val="20"/>
              </w:rPr>
              <w:t xml:space="preserve">, </w:t>
            </w:r>
            <w:proofErr w:type="spellStart"/>
            <w:r w:rsidRPr="004370D7">
              <w:rPr>
                <w:rFonts w:asciiTheme="minorHAnsi" w:hAnsiTheme="minorHAnsi"/>
                <w:sz w:val="20"/>
                <w:szCs w:val="20"/>
              </w:rPr>
              <w:t>Horden</w:t>
            </w:r>
            <w:proofErr w:type="spellEnd"/>
            <w:r w:rsidR="00D556C6">
              <w:rPr>
                <w:rFonts w:asciiTheme="minorHAnsi" w:hAnsiTheme="minorHAnsi"/>
                <w:sz w:val="20"/>
                <w:szCs w:val="20"/>
              </w:rPr>
              <w:t>,</w:t>
            </w:r>
            <w:r w:rsidRPr="004370D7">
              <w:rPr>
                <w:rFonts w:asciiTheme="minorHAnsi" w:hAnsiTheme="minorHAnsi"/>
                <w:sz w:val="20"/>
                <w:szCs w:val="20"/>
              </w:rPr>
              <w:t xml:space="preserve"> J</w:t>
            </w:r>
            <w:r w:rsidR="00D556C6">
              <w:rPr>
                <w:rFonts w:asciiTheme="minorHAnsi" w:hAnsiTheme="minorHAnsi"/>
                <w:sz w:val="20"/>
                <w:szCs w:val="20"/>
              </w:rPr>
              <w:t>.</w:t>
            </w:r>
            <w:r w:rsidRPr="004370D7">
              <w:rPr>
                <w:rFonts w:asciiTheme="minorHAnsi" w:hAnsiTheme="minorHAnsi"/>
                <w:sz w:val="20"/>
                <w:szCs w:val="20"/>
              </w:rPr>
              <w:t xml:space="preserve">, </w:t>
            </w:r>
            <w:proofErr w:type="spellStart"/>
            <w:r w:rsidRPr="004370D7">
              <w:rPr>
                <w:rFonts w:asciiTheme="minorHAnsi" w:hAnsiTheme="minorHAnsi"/>
                <w:sz w:val="20"/>
                <w:szCs w:val="20"/>
              </w:rPr>
              <w:t>Dacre</w:t>
            </w:r>
            <w:proofErr w:type="spellEnd"/>
            <w:r w:rsidR="00D556C6">
              <w:rPr>
                <w:rFonts w:asciiTheme="minorHAnsi" w:hAnsiTheme="minorHAnsi"/>
                <w:sz w:val="20"/>
                <w:szCs w:val="20"/>
              </w:rPr>
              <w:t>,</w:t>
            </w:r>
            <w:r w:rsidRPr="004370D7">
              <w:rPr>
                <w:rFonts w:asciiTheme="minorHAnsi" w:hAnsiTheme="minorHAnsi"/>
                <w:sz w:val="20"/>
                <w:szCs w:val="20"/>
              </w:rPr>
              <w:t xml:space="preserve"> J. </w:t>
            </w:r>
            <w:r w:rsidRPr="004370D7">
              <w:rPr>
                <w:rFonts w:asciiTheme="minorHAnsi" w:hAnsiTheme="minorHAnsi"/>
                <w:i/>
                <w:sz w:val="20"/>
                <w:szCs w:val="20"/>
              </w:rPr>
              <w:t>Advancing Medical Professionalism</w:t>
            </w:r>
            <w:r w:rsidRPr="004370D7">
              <w:rPr>
                <w:rFonts w:asciiTheme="minorHAnsi" w:hAnsiTheme="minorHAnsi"/>
                <w:sz w:val="20"/>
                <w:szCs w:val="20"/>
              </w:rPr>
              <w:t xml:space="preserve">. London: Royal College of Physicians, 2018 </w:t>
            </w:r>
          </w:p>
          <w:p w14:paraId="248382EC" w14:textId="77777777" w:rsidR="00B475C1" w:rsidRDefault="00B475C1" w:rsidP="00913655">
            <w:pPr>
              <w:jc w:val="both"/>
              <w:rPr>
                <w:rFonts w:asciiTheme="minorHAnsi" w:hAnsiTheme="minorHAnsi"/>
                <w:sz w:val="20"/>
                <w:szCs w:val="20"/>
              </w:rPr>
            </w:pPr>
          </w:p>
        </w:tc>
      </w:tr>
    </w:tbl>
    <w:p w14:paraId="20E366B7" w14:textId="77777777" w:rsidR="00913655" w:rsidRPr="00FE06B2" w:rsidRDefault="00913655" w:rsidP="00913655">
      <w:pPr>
        <w:pStyle w:val="NormalWeb"/>
        <w:rPr>
          <w:rFonts w:asciiTheme="minorHAnsi" w:hAnsiTheme="minorHAnsi"/>
          <w:sz w:val="20"/>
          <w:szCs w:val="20"/>
        </w:rPr>
      </w:pPr>
    </w:p>
    <w:p w14:paraId="35C036D0" w14:textId="77777777" w:rsidR="002D3AEA" w:rsidRPr="00FE06B2" w:rsidRDefault="002D3AEA" w:rsidP="002D3AEA">
      <w:pPr>
        <w:rPr>
          <w:rFonts w:asciiTheme="minorHAnsi" w:hAnsiTheme="minorHAnsi" w:cstheme="minorHAnsi"/>
          <w:color w:val="000000" w:themeColor="text1"/>
          <w:sz w:val="20"/>
          <w:szCs w:val="20"/>
        </w:rPr>
      </w:pPr>
    </w:p>
    <w:p w14:paraId="2A038D86" w14:textId="77777777" w:rsidR="002D3AEA" w:rsidRPr="00FE06B2" w:rsidRDefault="002D3AEA" w:rsidP="002D3AEA">
      <w:pPr>
        <w:rPr>
          <w:rFonts w:asciiTheme="minorHAnsi" w:hAnsiTheme="minorHAnsi" w:cstheme="minorHAnsi"/>
          <w:color w:val="000000" w:themeColor="text1"/>
          <w:sz w:val="20"/>
          <w:szCs w:val="20"/>
        </w:rPr>
      </w:pPr>
    </w:p>
    <w:p w14:paraId="65591DDA" w14:textId="77777777" w:rsidR="002D3AEA" w:rsidRPr="00FE06B2" w:rsidRDefault="002D3AEA" w:rsidP="002D3AEA">
      <w:pPr>
        <w:rPr>
          <w:rFonts w:asciiTheme="minorHAnsi" w:hAnsiTheme="minorHAnsi" w:cstheme="minorHAnsi"/>
          <w:color w:val="000000" w:themeColor="text1"/>
          <w:sz w:val="20"/>
          <w:szCs w:val="20"/>
        </w:rPr>
      </w:pPr>
    </w:p>
    <w:p w14:paraId="26DB1BAC" w14:textId="77777777" w:rsidR="002D3AEA" w:rsidRPr="00FE06B2" w:rsidRDefault="002D3AEA" w:rsidP="002D3AEA">
      <w:pPr>
        <w:rPr>
          <w:rFonts w:asciiTheme="minorHAnsi" w:hAnsiTheme="minorHAnsi" w:cstheme="minorHAnsi"/>
          <w:sz w:val="20"/>
          <w:szCs w:val="20"/>
        </w:rPr>
      </w:pPr>
    </w:p>
    <w:p w14:paraId="516636A2" w14:textId="4121F25B" w:rsidR="004370D7" w:rsidRDefault="004370D7">
      <w:pPr>
        <w:rPr>
          <w:rFonts w:asciiTheme="minorHAnsi" w:hAnsiTheme="minorHAnsi" w:cstheme="minorHAnsi"/>
          <w:b/>
          <w:sz w:val="20"/>
          <w:szCs w:val="20"/>
        </w:rPr>
      </w:pPr>
    </w:p>
    <w:p w14:paraId="6BBC9107" w14:textId="77777777" w:rsidR="00B475C1" w:rsidRDefault="00B475C1">
      <w:pPr>
        <w:rPr>
          <w:rFonts w:asciiTheme="minorHAnsi" w:hAnsiTheme="minorHAnsi"/>
          <w:b/>
          <w:bCs/>
          <w:iCs/>
          <w:caps/>
        </w:rPr>
      </w:pPr>
      <w:r>
        <w:rPr>
          <w:rFonts w:asciiTheme="minorHAnsi" w:hAnsiTheme="minorHAnsi"/>
          <w:b/>
          <w:bCs/>
          <w:iCs/>
          <w:caps/>
        </w:rPr>
        <w:br w:type="page"/>
      </w:r>
    </w:p>
    <w:p w14:paraId="7100DA80" w14:textId="11FE818C" w:rsidR="00670E4A" w:rsidRPr="003867BC" w:rsidRDefault="00670E4A" w:rsidP="00670E4A">
      <w:pPr>
        <w:autoSpaceDE w:val="0"/>
        <w:autoSpaceDN w:val="0"/>
        <w:adjustRightInd w:val="0"/>
        <w:jc w:val="center"/>
        <w:rPr>
          <w:rFonts w:asciiTheme="minorHAnsi" w:hAnsiTheme="minorHAnsi"/>
          <w:b/>
          <w:bCs/>
          <w:iCs/>
          <w:caps/>
        </w:rPr>
      </w:pPr>
      <w:r>
        <w:rPr>
          <w:rFonts w:asciiTheme="minorHAnsi" w:hAnsiTheme="minorHAnsi"/>
          <w:b/>
          <w:bCs/>
          <w:iCs/>
          <w:caps/>
        </w:rPr>
        <w:lastRenderedPageBreak/>
        <w:t>DECISION-MAKING</w:t>
      </w:r>
      <w:r w:rsidRPr="003867BC">
        <w:rPr>
          <w:rFonts w:asciiTheme="minorHAnsi" w:hAnsiTheme="minorHAnsi"/>
          <w:b/>
          <w:bCs/>
          <w:iCs/>
          <w:caps/>
        </w:rPr>
        <w:t xml:space="preserve"> and capacity</w:t>
      </w:r>
    </w:p>
    <w:p w14:paraId="48CB5191" w14:textId="77777777" w:rsidR="00670E4A" w:rsidRPr="003867BC" w:rsidRDefault="00670E4A" w:rsidP="00670E4A">
      <w:pPr>
        <w:autoSpaceDE w:val="0"/>
        <w:autoSpaceDN w:val="0"/>
        <w:adjustRightInd w:val="0"/>
        <w:rPr>
          <w:rFonts w:asciiTheme="minorHAnsi" w:hAnsiTheme="minorHAnsi"/>
          <w:b/>
          <w:bCs/>
          <w:iCs/>
          <w:caps/>
        </w:rPr>
      </w:pPr>
    </w:p>
    <w:p w14:paraId="35031C1A" w14:textId="6C49B713" w:rsidR="00B22F56" w:rsidRDefault="00670E4A" w:rsidP="001A4120">
      <w:pPr>
        <w:jc w:val="both"/>
        <w:rPr>
          <w:rFonts w:asciiTheme="minorHAnsi" w:hAnsiTheme="minorHAnsi"/>
          <w:sz w:val="20"/>
          <w:szCs w:val="20"/>
        </w:rPr>
      </w:pPr>
      <w:r w:rsidRPr="00FE06B2">
        <w:rPr>
          <w:rFonts w:asciiTheme="minorHAnsi" w:hAnsiTheme="minorHAnsi"/>
          <w:sz w:val="20"/>
          <w:szCs w:val="20"/>
        </w:rPr>
        <w:t>Consent is when a person agrees to an option presented freely because they have the capacity to understand</w:t>
      </w:r>
      <w:r w:rsidR="00B55A7A">
        <w:rPr>
          <w:rFonts w:asciiTheme="minorHAnsi" w:hAnsiTheme="minorHAnsi"/>
          <w:sz w:val="20"/>
          <w:szCs w:val="20"/>
        </w:rPr>
        <w:t>;</w:t>
      </w:r>
      <w:r w:rsidRPr="00FE06B2">
        <w:rPr>
          <w:rFonts w:asciiTheme="minorHAnsi" w:hAnsiTheme="minorHAnsi"/>
          <w:sz w:val="20"/>
          <w:szCs w:val="20"/>
        </w:rPr>
        <w:t xml:space="preserve"> </w:t>
      </w:r>
      <w:r w:rsidR="00B55A7A">
        <w:rPr>
          <w:rFonts w:asciiTheme="minorHAnsi" w:hAnsiTheme="minorHAnsi"/>
          <w:sz w:val="20"/>
          <w:szCs w:val="20"/>
        </w:rPr>
        <w:t xml:space="preserve">the ability to </w:t>
      </w:r>
      <w:r w:rsidRPr="00FE06B2">
        <w:rPr>
          <w:rFonts w:asciiTheme="minorHAnsi" w:hAnsiTheme="minorHAnsi"/>
          <w:sz w:val="20"/>
          <w:szCs w:val="20"/>
        </w:rPr>
        <w:t>process the information in relation to that option</w:t>
      </w:r>
      <w:r w:rsidR="00B55A7A">
        <w:rPr>
          <w:rFonts w:asciiTheme="minorHAnsi" w:hAnsiTheme="minorHAnsi"/>
          <w:sz w:val="20"/>
          <w:szCs w:val="20"/>
        </w:rPr>
        <w:t>;</w:t>
      </w:r>
      <w:r w:rsidRPr="00FE06B2">
        <w:rPr>
          <w:rFonts w:asciiTheme="minorHAnsi" w:hAnsiTheme="minorHAnsi"/>
          <w:sz w:val="20"/>
          <w:szCs w:val="20"/>
        </w:rPr>
        <w:t xml:space="preserve"> and </w:t>
      </w:r>
      <w:r w:rsidR="00B55A7A">
        <w:rPr>
          <w:rFonts w:asciiTheme="minorHAnsi" w:hAnsiTheme="minorHAnsi"/>
          <w:sz w:val="20"/>
          <w:szCs w:val="20"/>
        </w:rPr>
        <w:t xml:space="preserve">they </w:t>
      </w:r>
      <w:r w:rsidRPr="00FE06B2">
        <w:rPr>
          <w:rFonts w:asciiTheme="minorHAnsi" w:hAnsiTheme="minorHAnsi"/>
          <w:sz w:val="20"/>
          <w:szCs w:val="20"/>
        </w:rPr>
        <w:t xml:space="preserve">can communicate this decision.  Students must be able to demonstrate good practice in </w:t>
      </w:r>
      <w:r w:rsidR="00B55A7A">
        <w:rPr>
          <w:rFonts w:asciiTheme="minorHAnsi" w:hAnsiTheme="minorHAnsi"/>
          <w:sz w:val="20"/>
          <w:szCs w:val="20"/>
        </w:rPr>
        <w:t xml:space="preserve">the </w:t>
      </w:r>
      <w:r w:rsidRPr="00FE06B2">
        <w:rPr>
          <w:rFonts w:asciiTheme="minorHAnsi" w:hAnsiTheme="minorHAnsi"/>
          <w:sz w:val="20"/>
          <w:szCs w:val="20"/>
        </w:rPr>
        <w:t>consent process</w:t>
      </w:r>
      <w:r w:rsidR="00B22F56">
        <w:rPr>
          <w:rFonts w:asciiTheme="minorHAnsi" w:hAnsiTheme="minorHAnsi"/>
          <w:sz w:val="20"/>
          <w:szCs w:val="20"/>
        </w:rPr>
        <w:t>, and to be familiar with the elements of information giving, voluntariness and capacity</w:t>
      </w:r>
      <w:r w:rsidRPr="00FE06B2">
        <w:rPr>
          <w:rFonts w:asciiTheme="minorHAnsi" w:hAnsiTheme="minorHAnsi"/>
          <w:sz w:val="20"/>
          <w:szCs w:val="20"/>
        </w:rPr>
        <w:t xml:space="preserve">.  </w:t>
      </w:r>
      <w:r w:rsidR="00B22F56">
        <w:rPr>
          <w:rFonts w:asciiTheme="minorHAnsi" w:hAnsiTheme="minorHAnsi"/>
          <w:sz w:val="20"/>
          <w:szCs w:val="20"/>
        </w:rPr>
        <w:t xml:space="preserve">They should understand </w:t>
      </w:r>
      <w:r w:rsidRPr="00FE06B2">
        <w:rPr>
          <w:rFonts w:asciiTheme="minorHAnsi" w:hAnsiTheme="minorHAnsi"/>
          <w:sz w:val="20"/>
          <w:szCs w:val="20"/>
        </w:rPr>
        <w:t>the process of assessing capacity</w:t>
      </w:r>
      <w:r w:rsidR="00B22F56">
        <w:rPr>
          <w:rFonts w:asciiTheme="minorHAnsi" w:hAnsiTheme="minorHAnsi"/>
          <w:sz w:val="20"/>
          <w:szCs w:val="20"/>
        </w:rPr>
        <w:t>,</w:t>
      </w:r>
      <w:r w:rsidRPr="00FE06B2">
        <w:rPr>
          <w:rFonts w:asciiTheme="minorHAnsi" w:hAnsiTheme="minorHAnsi"/>
          <w:sz w:val="20"/>
          <w:szCs w:val="20"/>
        </w:rPr>
        <w:t xml:space="preserve"> and the challenges associated with this skill.</w:t>
      </w:r>
      <w:r w:rsidR="00B22F56">
        <w:rPr>
          <w:rFonts w:asciiTheme="minorHAnsi" w:hAnsiTheme="minorHAnsi"/>
          <w:sz w:val="20"/>
          <w:szCs w:val="20"/>
        </w:rPr>
        <w:t xml:space="preserve">  Links can be made with the different areas where capacity might be compromised, with cross links to beginnings and end of life, children and young people, and mental health.</w:t>
      </w:r>
      <w:r w:rsidRPr="00FE06B2">
        <w:rPr>
          <w:rFonts w:asciiTheme="minorHAnsi" w:hAnsiTheme="minorHAnsi"/>
          <w:sz w:val="20"/>
          <w:szCs w:val="20"/>
        </w:rPr>
        <w:t xml:space="preserve"> </w:t>
      </w:r>
    </w:p>
    <w:p w14:paraId="63015155" w14:textId="77777777" w:rsidR="00B22F56" w:rsidRDefault="00B22F56" w:rsidP="001A4120">
      <w:pPr>
        <w:jc w:val="both"/>
        <w:rPr>
          <w:rFonts w:asciiTheme="minorHAnsi" w:hAnsiTheme="minorHAnsi"/>
          <w:sz w:val="20"/>
          <w:szCs w:val="20"/>
        </w:rPr>
      </w:pPr>
    </w:p>
    <w:p w14:paraId="3B050543" w14:textId="585189CB" w:rsidR="00670E4A" w:rsidRDefault="00670E4A" w:rsidP="001A4120">
      <w:pPr>
        <w:jc w:val="both"/>
        <w:rPr>
          <w:rFonts w:asciiTheme="minorHAnsi" w:hAnsiTheme="minorHAnsi"/>
          <w:iCs/>
          <w:sz w:val="20"/>
          <w:szCs w:val="20"/>
        </w:rPr>
      </w:pPr>
      <w:r w:rsidRPr="00FE06B2">
        <w:rPr>
          <w:rFonts w:asciiTheme="minorHAnsi" w:hAnsiTheme="minorHAnsi"/>
          <w:sz w:val="20"/>
          <w:szCs w:val="20"/>
        </w:rPr>
        <w:t xml:space="preserve">You may wish to include the </w:t>
      </w:r>
      <w:proofErr w:type="spellStart"/>
      <w:r w:rsidRPr="00FE06B2">
        <w:rPr>
          <w:rFonts w:asciiTheme="minorHAnsi" w:hAnsiTheme="minorHAnsi"/>
          <w:sz w:val="20"/>
          <w:szCs w:val="20"/>
        </w:rPr>
        <w:t>ethico</w:t>
      </w:r>
      <w:proofErr w:type="spellEnd"/>
      <w:r w:rsidRPr="00FE06B2">
        <w:rPr>
          <w:rFonts w:asciiTheme="minorHAnsi" w:hAnsiTheme="minorHAnsi"/>
          <w:sz w:val="20"/>
          <w:szCs w:val="20"/>
        </w:rPr>
        <w:t>-legal implications of the rights of a patient with capacity, good practice when a patient lacks capacity for a decision</w:t>
      </w:r>
      <w:r w:rsidR="00B22F56">
        <w:rPr>
          <w:rFonts w:asciiTheme="minorHAnsi" w:hAnsiTheme="minorHAnsi"/>
          <w:sz w:val="20"/>
          <w:szCs w:val="20"/>
        </w:rPr>
        <w:t>, including advance decision-making</w:t>
      </w:r>
      <w:r w:rsidR="00B55A7A">
        <w:rPr>
          <w:rFonts w:asciiTheme="minorHAnsi" w:hAnsiTheme="minorHAnsi"/>
          <w:sz w:val="20"/>
          <w:szCs w:val="20"/>
        </w:rPr>
        <w:t xml:space="preserve"> and the best </w:t>
      </w:r>
      <w:proofErr w:type="gramStart"/>
      <w:r w:rsidR="00B55A7A">
        <w:rPr>
          <w:rFonts w:asciiTheme="minorHAnsi" w:hAnsiTheme="minorHAnsi"/>
          <w:sz w:val="20"/>
          <w:szCs w:val="20"/>
        </w:rPr>
        <w:t>interests</w:t>
      </w:r>
      <w:proofErr w:type="gramEnd"/>
      <w:r w:rsidR="00B55A7A">
        <w:rPr>
          <w:rFonts w:asciiTheme="minorHAnsi" w:hAnsiTheme="minorHAnsi"/>
          <w:sz w:val="20"/>
          <w:szCs w:val="20"/>
        </w:rPr>
        <w:t xml:space="preserve"> jurisdic</w:t>
      </w:r>
      <w:r w:rsidR="00B22F56">
        <w:rPr>
          <w:rFonts w:asciiTheme="minorHAnsi" w:hAnsiTheme="minorHAnsi"/>
          <w:sz w:val="20"/>
          <w:szCs w:val="20"/>
        </w:rPr>
        <w:t>t</w:t>
      </w:r>
      <w:r w:rsidR="00B55A7A">
        <w:rPr>
          <w:rFonts w:asciiTheme="minorHAnsi" w:hAnsiTheme="minorHAnsi"/>
          <w:sz w:val="20"/>
          <w:szCs w:val="20"/>
        </w:rPr>
        <w:t>ion</w:t>
      </w:r>
      <w:r w:rsidRPr="00FE06B2">
        <w:rPr>
          <w:rFonts w:asciiTheme="minorHAnsi" w:hAnsiTheme="minorHAnsi"/>
          <w:sz w:val="20"/>
          <w:szCs w:val="20"/>
        </w:rPr>
        <w:t>, the relevance of patient autonomy, truth</w:t>
      </w:r>
      <w:r w:rsidR="00B22F56">
        <w:rPr>
          <w:rFonts w:asciiTheme="minorHAnsi" w:hAnsiTheme="minorHAnsi"/>
          <w:sz w:val="20"/>
          <w:szCs w:val="20"/>
        </w:rPr>
        <w:t>-</w:t>
      </w:r>
      <w:r w:rsidRPr="00FE06B2">
        <w:rPr>
          <w:rFonts w:asciiTheme="minorHAnsi" w:hAnsiTheme="minorHAnsi"/>
          <w:sz w:val="20"/>
          <w:szCs w:val="20"/>
        </w:rPr>
        <w:t xml:space="preserve">telling, </w:t>
      </w:r>
      <w:r w:rsidR="00B55A7A">
        <w:rPr>
          <w:rFonts w:asciiTheme="minorHAnsi" w:hAnsiTheme="minorHAnsi"/>
          <w:sz w:val="20"/>
          <w:szCs w:val="20"/>
        </w:rPr>
        <w:t xml:space="preserve">and </w:t>
      </w:r>
      <w:r w:rsidRPr="00FE06B2">
        <w:rPr>
          <w:rFonts w:asciiTheme="minorHAnsi" w:hAnsiTheme="minorHAnsi"/>
          <w:sz w:val="20"/>
          <w:szCs w:val="20"/>
        </w:rPr>
        <w:t>duty of candour</w:t>
      </w:r>
      <w:r w:rsidRPr="00FE06B2">
        <w:rPr>
          <w:rFonts w:asciiTheme="minorHAnsi" w:hAnsiTheme="minorHAnsi"/>
          <w:iCs/>
          <w:sz w:val="20"/>
          <w:szCs w:val="20"/>
        </w:rPr>
        <w:t>.</w:t>
      </w:r>
      <w:r w:rsidR="00B55A7A">
        <w:rPr>
          <w:rFonts w:asciiTheme="minorHAnsi" w:hAnsiTheme="minorHAnsi"/>
          <w:iCs/>
          <w:sz w:val="20"/>
          <w:szCs w:val="20"/>
        </w:rPr>
        <w:t xml:space="preserve"> </w:t>
      </w:r>
      <w:r w:rsidRPr="00FE06B2">
        <w:rPr>
          <w:rFonts w:asciiTheme="minorHAnsi" w:hAnsiTheme="minorHAnsi"/>
          <w:iCs/>
          <w:sz w:val="20"/>
          <w:szCs w:val="20"/>
        </w:rPr>
        <w:t xml:space="preserve"> It is worth considering the </w:t>
      </w:r>
      <w:proofErr w:type="spellStart"/>
      <w:r w:rsidRPr="00FE06B2">
        <w:rPr>
          <w:rFonts w:asciiTheme="minorHAnsi" w:hAnsiTheme="minorHAnsi"/>
          <w:iCs/>
          <w:sz w:val="20"/>
          <w:szCs w:val="20"/>
        </w:rPr>
        <w:t>ethico</w:t>
      </w:r>
      <w:proofErr w:type="spellEnd"/>
      <w:r w:rsidRPr="00FE06B2">
        <w:rPr>
          <w:rFonts w:asciiTheme="minorHAnsi" w:hAnsiTheme="minorHAnsi"/>
          <w:iCs/>
          <w:sz w:val="20"/>
          <w:szCs w:val="20"/>
        </w:rPr>
        <w:t>-legal aspects and good practice in liberty protection safeguards.</w:t>
      </w:r>
    </w:p>
    <w:p w14:paraId="4B200EA2" w14:textId="27DE272F" w:rsidR="007D6C8E" w:rsidRDefault="007D6C8E" w:rsidP="001A4120">
      <w:pPr>
        <w:jc w:val="both"/>
        <w:rPr>
          <w:rFonts w:asciiTheme="minorHAnsi" w:hAnsiTheme="minorHAnsi"/>
          <w:iCs/>
          <w:sz w:val="20"/>
          <w:szCs w:val="20"/>
        </w:rPr>
      </w:pPr>
    </w:p>
    <w:tbl>
      <w:tblPr>
        <w:tblStyle w:val="TableGrid"/>
        <w:tblW w:w="0" w:type="auto"/>
        <w:tblLook w:val="04A0" w:firstRow="1" w:lastRow="0" w:firstColumn="1" w:lastColumn="0" w:noHBand="0" w:noVBand="1"/>
      </w:tblPr>
      <w:tblGrid>
        <w:gridCol w:w="9016"/>
      </w:tblGrid>
      <w:tr w:rsidR="007D6C8E" w14:paraId="7A837A7D" w14:textId="77777777" w:rsidTr="007D6C8E">
        <w:tc>
          <w:tcPr>
            <w:tcW w:w="9016" w:type="dxa"/>
          </w:tcPr>
          <w:p w14:paraId="1B8C902B" w14:textId="215FE85A" w:rsidR="007D6C8E" w:rsidRPr="007D6C8E" w:rsidRDefault="007D6C8E" w:rsidP="007D6C8E">
            <w:pPr>
              <w:jc w:val="center"/>
              <w:rPr>
                <w:rFonts w:asciiTheme="minorHAnsi" w:hAnsiTheme="minorHAnsi"/>
                <w:b/>
                <w:bCs/>
                <w:sz w:val="20"/>
                <w:szCs w:val="20"/>
              </w:rPr>
            </w:pPr>
            <w:r w:rsidRPr="007D6C8E">
              <w:rPr>
                <w:rFonts w:asciiTheme="minorHAnsi" w:hAnsiTheme="minorHAnsi"/>
                <w:b/>
                <w:bCs/>
                <w:sz w:val="20"/>
                <w:szCs w:val="20"/>
              </w:rPr>
              <w:t>Useful Resources</w:t>
            </w:r>
          </w:p>
        </w:tc>
      </w:tr>
      <w:tr w:rsidR="007D6C8E" w14:paraId="72F3BAC7" w14:textId="77777777" w:rsidTr="007D6C8E">
        <w:tc>
          <w:tcPr>
            <w:tcW w:w="9016" w:type="dxa"/>
          </w:tcPr>
          <w:p w14:paraId="3DD4A0F7" w14:textId="77777777" w:rsidR="007D6C8E" w:rsidRPr="00FE06B2" w:rsidRDefault="007D6C8E" w:rsidP="007D6C8E">
            <w:pPr>
              <w:spacing w:after="160" w:line="259" w:lineRule="auto"/>
              <w:rPr>
                <w:rFonts w:asciiTheme="minorHAnsi" w:hAnsiTheme="minorHAnsi"/>
                <w:sz w:val="20"/>
                <w:szCs w:val="20"/>
              </w:rPr>
            </w:pPr>
            <w:r w:rsidRPr="00FE06B2">
              <w:rPr>
                <w:rFonts w:asciiTheme="minorHAnsi" w:hAnsiTheme="minorHAnsi"/>
                <w:sz w:val="20"/>
                <w:szCs w:val="20"/>
              </w:rPr>
              <w:t xml:space="preserve">Mental Capacity Act Code of Conduct </w:t>
            </w:r>
            <w:hyperlink r:id="rId18" w:history="1">
              <w:r w:rsidRPr="00FE06B2">
                <w:rPr>
                  <w:rStyle w:val="Hyperlink"/>
                  <w:rFonts w:asciiTheme="minorHAnsi" w:eastAsiaTheme="majorEastAsia" w:hAnsiTheme="minorHAnsi"/>
                  <w:sz w:val="20"/>
                  <w:szCs w:val="20"/>
                </w:rPr>
                <w:t>https://www.gov.uk/government/publications/mental-capacity-act-code-of-practice</w:t>
              </w:r>
            </w:hyperlink>
            <w:r w:rsidRPr="00FE06B2">
              <w:rPr>
                <w:rFonts w:asciiTheme="minorHAnsi" w:hAnsiTheme="minorHAnsi"/>
                <w:sz w:val="20"/>
                <w:szCs w:val="20"/>
              </w:rPr>
              <w:t xml:space="preserve"> </w:t>
            </w:r>
          </w:p>
          <w:p w14:paraId="212FEBD0" w14:textId="77777777" w:rsidR="007D6C8E" w:rsidRPr="00FE06B2" w:rsidRDefault="007D6C8E" w:rsidP="007D6C8E">
            <w:pPr>
              <w:spacing w:after="160" w:line="259" w:lineRule="auto"/>
              <w:rPr>
                <w:rFonts w:asciiTheme="minorHAnsi" w:hAnsiTheme="minorHAnsi"/>
                <w:sz w:val="20"/>
                <w:szCs w:val="20"/>
              </w:rPr>
            </w:pPr>
            <w:r w:rsidRPr="00FE06B2">
              <w:rPr>
                <w:rFonts w:asciiTheme="minorHAnsi" w:hAnsiTheme="minorHAnsi"/>
                <w:sz w:val="20"/>
                <w:szCs w:val="20"/>
              </w:rPr>
              <w:t>Jehovah’s Witnesses are often cited as an example of patients with capacity who refuse to consent to a treatment.</w:t>
            </w:r>
          </w:p>
          <w:p w14:paraId="46765A5C" w14:textId="77777777" w:rsidR="007D6C8E" w:rsidRPr="00FE06B2" w:rsidRDefault="001673C8" w:rsidP="007D6C8E">
            <w:pPr>
              <w:spacing w:after="160" w:line="259" w:lineRule="auto"/>
              <w:rPr>
                <w:rFonts w:asciiTheme="minorHAnsi" w:hAnsiTheme="minorHAnsi"/>
                <w:sz w:val="20"/>
                <w:szCs w:val="20"/>
              </w:rPr>
            </w:pPr>
            <w:hyperlink r:id="rId19" w:history="1">
              <w:r w:rsidR="007D6C8E" w:rsidRPr="00FE06B2">
                <w:rPr>
                  <w:rStyle w:val="Hyperlink"/>
                  <w:rFonts w:asciiTheme="minorHAnsi" w:eastAsiaTheme="majorEastAsia" w:hAnsiTheme="minorHAnsi"/>
                  <w:sz w:val="20"/>
                  <w:szCs w:val="20"/>
                </w:rPr>
                <w:t>https://www.transfusionguidelines.org/transfusion-handbook/12-management-of-patients-who-do-not-accept-transfusion/12-2-jehovah-s-witnesses-and-blood-transfusion</w:t>
              </w:r>
            </w:hyperlink>
            <w:r w:rsidR="007D6C8E" w:rsidRPr="00FE06B2">
              <w:rPr>
                <w:rFonts w:asciiTheme="minorHAnsi" w:hAnsiTheme="minorHAnsi"/>
                <w:sz w:val="20"/>
                <w:szCs w:val="20"/>
              </w:rPr>
              <w:t xml:space="preserve">  - a handy practical guide. </w:t>
            </w:r>
          </w:p>
          <w:p w14:paraId="4575666B" w14:textId="77777777" w:rsidR="007D6C8E" w:rsidRPr="00FE06B2" w:rsidRDefault="001673C8" w:rsidP="007D6C8E">
            <w:pPr>
              <w:spacing w:after="160" w:line="259" w:lineRule="auto"/>
              <w:rPr>
                <w:rFonts w:asciiTheme="minorHAnsi" w:hAnsiTheme="minorHAnsi"/>
                <w:sz w:val="20"/>
                <w:szCs w:val="20"/>
              </w:rPr>
            </w:pPr>
            <w:hyperlink r:id="rId20" w:history="1">
              <w:r w:rsidR="007D6C8E" w:rsidRPr="00FE06B2">
                <w:rPr>
                  <w:rStyle w:val="Hyperlink"/>
                  <w:rFonts w:asciiTheme="minorHAnsi" w:eastAsiaTheme="majorEastAsia" w:hAnsiTheme="minorHAnsi"/>
                  <w:sz w:val="20"/>
                  <w:szCs w:val="20"/>
                </w:rPr>
                <w:t>http://www.bbc.co.uk/radio4/science/ethicscommittee_20050511.shtml</w:t>
              </w:r>
            </w:hyperlink>
            <w:r w:rsidR="007D6C8E" w:rsidRPr="00FE06B2">
              <w:rPr>
                <w:rFonts w:asciiTheme="minorHAnsi" w:hAnsiTheme="minorHAnsi"/>
                <w:sz w:val="20"/>
                <w:szCs w:val="20"/>
              </w:rPr>
              <w:t xml:space="preserve">    (Inside the Ethics Committee discussing the treatment of a Jehovah’s Witness)</w:t>
            </w:r>
          </w:p>
          <w:p w14:paraId="43E6FF65" w14:textId="77777777" w:rsidR="007D6C8E" w:rsidRPr="00FE06B2" w:rsidRDefault="001673C8" w:rsidP="007D6C8E">
            <w:pPr>
              <w:spacing w:after="160" w:line="259" w:lineRule="auto"/>
              <w:rPr>
                <w:rFonts w:asciiTheme="minorHAnsi" w:hAnsiTheme="minorHAnsi"/>
                <w:sz w:val="20"/>
                <w:szCs w:val="20"/>
              </w:rPr>
            </w:pPr>
            <w:hyperlink r:id="rId21" w:history="1">
              <w:r w:rsidR="007D6C8E" w:rsidRPr="00FE06B2">
                <w:rPr>
                  <w:rStyle w:val="Hyperlink"/>
                  <w:rFonts w:asciiTheme="minorHAnsi" w:eastAsiaTheme="majorEastAsia" w:hAnsiTheme="minorHAnsi"/>
                  <w:sz w:val="20"/>
                  <w:szCs w:val="20"/>
                </w:rPr>
                <w:t>https://www.jw.org/en/jehovahs-witnesses/faq/jehovahs-witnesses-why-no-blood-transfusions/</w:t>
              </w:r>
            </w:hyperlink>
            <w:r w:rsidR="007D6C8E" w:rsidRPr="00FE06B2">
              <w:rPr>
                <w:rFonts w:asciiTheme="minorHAnsi" w:hAnsiTheme="minorHAnsi"/>
                <w:sz w:val="20"/>
                <w:szCs w:val="20"/>
              </w:rPr>
              <w:t xml:space="preserve">  - in their own words.</w:t>
            </w:r>
          </w:p>
          <w:p w14:paraId="0FE0AE72" w14:textId="77777777" w:rsidR="007D6C8E" w:rsidRPr="00FE06B2" w:rsidRDefault="007D6C8E" w:rsidP="007D6C8E">
            <w:pPr>
              <w:spacing w:after="160" w:line="259" w:lineRule="auto"/>
              <w:rPr>
                <w:rFonts w:asciiTheme="minorHAnsi" w:hAnsiTheme="minorHAnsi"/>
                <w:sz w:val="20"/>
                <w:szCs w:val="20"/>
              </w:rPr>
            </w:pPr>
            <w:r w:rsidRPr="00FE06B2">
              <w:rPr>
                <w:rFonts w:asciiTheme="minorHAnsi" w:hAnsiTheme="minorHAnsi"/>
                <w:sz w:val="20"/>
                <w:szCs w:val="20"/>
              </w:rPr>
              <w:t xml:space="preserve">Advance Decisions to Refuse Treatment – a guide produced by the NHS and the National Council for Palliative Care. </w:t>
            </w:r>
            <w:hyperlink r:id="rId22" w:history="1">
              <w:r w:rsidRPr="00FE06B2">
                <w:rPr>
                  <w:rStyle w:val="Hyperlink"/>
                  <w:rFonts w:asciiTheme="minorHAnsi" w:eastAsiaTheme="majorEastAsia" w:hAnsiTheme="minorHAnsi"/>
                  <w:sz w:val="20"/>
                  <w:szCs w:val="20"/>
                </w:rPr>
                <w:t>https://www.nwas.nhs.uk/media/281368/20013_adrt.pdf</w:t>
              </w:r>
            </w:hyperlink>
            <w:r w:rsidRPr="00FE06B2">
              <w:rPr>
                <w:rFonts w:asciiTheme="minorHAnsi" w:hAnsiTheme="minorHAnsi"/>
                <w:sz w:val="20"/>
                <w:szCs w:val="20"/>
              </w:rPr>
              <w:t xml:space="preserve"> </w:t>
            </w:r>
          </w:p>
          <w:p w14:paraId="3990FC58" w14:textId="77777777" w:rsidR="007D6C8E" w:rsidRPr="00FE06B2" w:rsidRDefault="007D6C8E" w:rsidP="007D6C8E">
            <w:pPr>
              <w:spacing w:after="160" w:line="259" w:lineRule="auto"/>
              <w:rPr>
                <w:rFonts w:asciiTheme="minorHAnsi" w:hAnsiTheme="minorHAnsi"/>
                <w:sz w:val="20"/>
                <w:szCs w:val="20"/>
              </w:rPr>
            </w:pPr>
            <w:r>
              <w:rPr>
                <w:rFonts w:asciiTheme="minorHAnsi" w:hAnsiTheme="minorHAnsi"/>
                <w:sz w:val="20"/>
                <w:szCs w:val="20"/>
              </w:rPr>
              <w:t>L</w:t>
            </w:r>
            <w:r w:rsidRPr="00FE06B2">
              <w:rPr>
                <w:rFonts w:asciiTheme="minorHAnsi" w:hAnsiTheme="minorHAnsi"/>
                <w:sz w:val="20"/>
                <w:szCs w:val="20"/>
              </w:rPr>
              <w:t>asting power</w:t>
            </w:r>
            <w:r>
              <w:rPr>
                <w:rFonts w:asciiTheme="minorHAnsi" w:hAnsiTheme="minorHAnsi"/>
                <w:sz w:val="20"/>
                <w:szCs w:val="20"/>
              </w:rPr>
              <w:t>s</w:t>
            </w:r>
            <w:r w:rsidRPr="00FE06B2">
              <w:rPr>
                <w:rFonts w:asciiTheme="minorHAnsi" w:hAnsiTheme="minorHAnsi"/>
                <w:sz w:val="20"/>
                <w:szCs w:val="20"/>
              </w:rPr>
              <w:t xml:space="preserve"> of attorney</w:t>
            </w:r>
            <w:r>
              <w:rPr>
                <w:rFonts w:asciiTheme="minorHAnsi" w:hAnsiTheme="minorHAnsi"/>
                <w:sz w:val="20"/>
                <w:szCs w:val="20"/>
              </w:rPr>
              <w:t xml:space="preserve"> and how to set up</w:t>
            </w:r>
            <w:r w:rsidRPr="00FE06B2">
              <w:rPr>
                <w:rFonts w:asciiTheme="minorHAnsi" w:hAnsiTheme="minorHAnsi"/>
                <w:sz w:val="20"/>
                <w:szCs w:val="20"/>
              </w:rPr>
              <w:t>:</w:t>
            </w:r>
          </w:p>
          <w:p w14:paraId="0A2D86E7" w14:textId="77777777" w:rsidR="007D6C8E" w:rsidRPr="00FE06B2" w:rsidRDefault="001673C8" w:rsidP="007D6C8E">
            <w:pPr>
              <w:spacing w:after="160" w:line="259" w:lineRule="auto"/>
              <w:rPr>
                <w:rFonts w:asciiTheme="minorHAnsi" w:hAnsiTheme="minorHAnsi"/>
                <w:sz w:val="20"/>
                <w:szCs w:val="20"/>
              </w:rPr>
            </w:pPr>
            <w:hyperlink r:id="rId23" w:history="1">
              <w:r w:rsidR="007D6C8E" w:rsidRPr="00FE06B2">
                <w:rPr>
                  <w:rStyle w:val="Hyperlink"/>
                  <w:rFonts w:asciiTheme="minorHAnsi" w:eastAsiaTheme="majorEastAsia" w:hAnsiTheme="minorHAnsi"/>
                  <w:sz w:val="20"/>
                  <w:szCs w:val="20"/>
                </w:rPr>
                <w:t>https://www.gov.uk/government/publications/make-a-lasting-power-of-attorney/lp12-make-and-register-your-lasting-power-of-attorney-a-guide-web-version</w:t>
              </w:r>
            </w:hyperlink>
            <w:r w:rsidR="007D6C8E" w:rsidRPr="00FE06B2">
              <w:rPr>
                <w:rFonts w:asciiTheme="minorHAnsi" w:hAnsiTheme="minorHAnsi"/>
                <w:sz w:val="20"/>
                <w:szCs w:val="20"/>
              </w:rPr>
              <w:t xml:space="preserve">  </w:t>
            </w:r>
          </w:p>
          <w:p w14:paraId="0F9CF19C" w14:textId="77777777" w:rsidR="007D6C8E" w:rsidRPr="00FE06B2" w:rsidRDefault="007D6C8E" w:rsidP="007D6C8E">
            <w:pPr>
              <w:spacing w:after="160" w:line="259" w:lineRule="auto"/>
              <w:rPr>
                <w:rFonts w:asciiTheme="minorHAnsi" w:hAnsiTheme="minorHAnsi"/>
                <w:sz w:val="20"/>
                <w:szCs w:val="20"/>
              </w:rPr>
            </w:pPr>
            <w:r w:rsidRPr="00FE06B2">
              <w:rPr>
                <w:rFonts w:asciiTheme="minorHAnsi" w:hAnsiTheme="minorHAnsi"/>
                <w:sz w:val="20"/>
                <w:szCs w:val="20"/>
              </w:rPr>
              <w:t xml:space="preserve">Independent Mental </w:t>
            </w:r>
            <w:r>
              <w:rPr>
                <w:rFonts w:asciiTheme="minorHAnsi" w:hAnsiTheme="minorHAnsi"/>
                <w:sz w:val="20"/>
                <w:szCs w:val="20"/>
              </w:rPr>
              <w:t>C</w:t>
            </w:r>
            <w:r w:rsidRPr="00FE06B2">
              <w:rPr>
                <w:rFonts w:asciiTheme="minorHAnsi" w:hAnsiTheme="minorHAnsi"/>
                <w:sz w:val="20"/>
                <w:szCs w:val="20"/>
              </w:rPr>
              <w:t xml:space="preserve">apacity </w:t>
            </w:r>
            <w:r>
              <w:rPr>
                <w:rFonts w:asciiTheme="minorHAnsi" w:hAnsiTheme="minorHAnsi"/>
                <w:sz w:val="20"/>
                <w:szCs w:val="20"/>
              </w:rPr>
              <w:t>A</w:t>
            </w:r>
            <w:r w:rsidRPr="00FE06B2">
              <w:rPr>
                <w:rFonts w:asciiTheme="minorHAnsi" w:hAnsiTheme="minorHAnsi"/>
                <w:sz w:val="20"/>
                <w:szCs w:val="20"/>
              </w:rPr>
              <w:t>dvocates:</w:t>
            </w:r>
          </w:p>
          <w:p w14:paraId="12EDAF2A" w14:textId="77777777" w:rsidR="007D6C8E" w:rsidRPr="00FE06B2" w:rsidRDefault="001673C8" w:rsidP="007D6C8E">
            <w:pPr>
              <w:spacing w:after="160" w:line="259" w:lineRule="auto"/>
              <w:rPr>
                <w:rFonts w:asciiTheme="minorHAnsi" w:hAnsiTheme="minorHAnsi"/>
                <w:sz w:val="20"/>
                <w:szCs w:val="20"/>
              </w:rPr>
            </w:pPr>
            <w:hyperlink r:id="rId24" w:history="1">
              <w:r w:rsidR="007D6C8E" w:rsidRPr="00FE06B2">
                <w:rPr>
                  <w:rStyle w:val="Hyperlink"/>
                  <w:rFonts w:asciiTheme="minorHAnsi" w:eastAsiaTheme="majorEastAsia" w:hAnsiTheme="minorHAnsi"/>
                  <w:sz w:val="20"/>
                  <w:szCs w:val="20"/>
                </w:rPr>
                <w:t>https://assets.publishing.service.gov.uk/government/uploads/system/uploads/attachment_data/file/365629/making-decisions-opg606-1207.pdf</w:t>
              </w:r>
            </w:hyperlink>
            <w:r w:rsidR="007D6C8E" w:rsidRPr="00FE06B2">
              <w:rPr>
                <w:rFonts w:asciiTheme="minorHAnsi" w:hAnsiTheme="minorHAnsi"/>
                <w:sz w:val="20"/>
                <w:szCs w:val="20"/>
              </w:rPr>
              <w:t xml:space="preserve">  </w:t>
            </w:r>
          </w:p>
          <w:p w14:paraId="4365884B" w14:textId="77777777" w:rsidR="007D6C8E" w:rsidRPr="00FE06B2" w:rsidRDefault="007D6C8E" w:rsidP="007D6C8E">
            <w:pPr>
              <w:spacing w:after="160" w:line="259" w:lineRule="auto"/>
              <w:rPr>
                <w:rFonts w:asciiTheme="minorHAnsi" w:hAnsiTheme="minorHAnsi"/>
                <w:sz w:val="20"/>
                <w:szCs w:val="20"/>
              </w:rPr>
            </w:pPr>
            <w:r w:rsidRPr="00FE06B2">
              <w:rPr>
                <w:rFonts w:asciiTheme="minorHAnsi" w:hAnsiTheme="minorHAnsi"/>
                <w:sz w:val="20"/>
                <w:szCs w:val="20"/>
              </w:rPr>
              <w:t>The role of the Court of Protection:</w:t>
            </w:r>
          </w:p>
          <w:p w14:paraId="292A7B44" w14:textId="77777777" w:rsidR="007D6C8E" w:rsidRPr="00FE06B2" w:rsidRDefault="001673C8" w:rsidP="007D6C8E">
            <w:pPr>
              <w:spacing w:after="160" w:line="259" w:lineRule="auto"/>
              <w:rPr>
                <w:rFonts w:asciiTheme="minorHAnsi" w:hAnsiTheme="minorHAnsi"/>
                <w:sz w:val="20"/>
                <w:szCs w:val="20"/>
              </w:rPr>
            </w:pPr>
            <w:hyperlink r:id="rId25" w:history="1">
              <w:r w:rsidR="007D6C8E" w:rsidRPr="00FE06B2">
                <w:rPr>
                  <w:rStyle w:val="Hyperlink"/>
                  <w:rFonts w:asciiTheme="minorHAnsi" w:eastAsiaTheme="majorEastAsia" w:hAnsiTheme="minorHAnsi"/>
                  <w:sz w:val="20"/>
                  <w:szCs w:val="20"/>
                </w:rPr>
                <w:t>https://www.gov.uk/courts-tribunals/court-of-protection</w:t>
              </w:r>
            </w:hyperlink>
            <w:r w:rsidR="007D6C8E" w:rsidRPr="00FE06B2">
              <w:rPr>
                <w:rFonts w:asciiTheme="minorHAnsi" w:hAnsiTheme="minorHAnsi"/>
                <w:sz w:val="20"/>
                <w:szCs w:val="20"/>
              </w:rPr>
              <w:t xml:space="preserve"> </w:t>
            </w:r>
          </w:p>
          <w:p w14:paraId="5DC7A742" w14:textId="77777777" w:rsidR="007D6C8E" w:rsidRPr="00FE06B2" w:rsidRDefault="007D6C8E" w:rsidP="007D6C8E">
            <w:pPr>
              <w:spacing w:after="160" w:line="259" w:lineRule="auto"/>
              <w:rPr>
                <w:rFonts w:asciiTheme="minorHAnsi" w:hAnsiTheme="minorHAnsi"/>
                <w:sz w:val="20"/>
                <w:szCs w:val="20"/>
              </w:rPr>
            </w:pPr>
            <w:r w:rsidRPr="00FE06B2">
              <w:rPr>
                <w:rFonts w:asciiTheme="minorHAnsi" w:hAnsiTheme="minorHAnsi"/>
                <w:sz w:val="20"/>
                <w:szCs w:val="20"/>
              </w:rPr>
              <w:t>Deprivation of Liberty:</w:t>
            </w:r>
          </w:p>
          <w:p w14:paraId="4F687AB9" w14:textId="77777777" w:rsidR="007D6C8E" w:rsidRPr="00FE06B2" w:rsidRDefault="001673C8" w:rsidP="007D6C8E">
            <w:pPr>
              <w:spacing w:after="160" w:line="259" w:lineRule="auto"/>
              <w:rPr>
                <w:rFonts w:asciiTheme="minorHAnsi" w:hAnsiTheme="minorHAnsi"/>
                <w:sz w:val="20"/>
                <w:szCs w:val="20"/>
              </w:rPr>
            </w:pPr>
            <w:hyperlink r:id="rId26" w:history="1">
              <w:r w:rsidR="007D6C8E" w:rsidRPr="00FE06B2">
                <w:rPr>
                  <w:rStyle w:val="Hyperlink"/>
                  <w:rFonts w:asciiTheme="minorHAnsi" w:eastAsiaTheme="majorEastAsia" w:hAnsiTheme="minorHAnsi"/>
                  <w:sz w:val="20"/>
                  <w:szCs w:val="20"/>
                </w:rPr>
                <w:t>http://www.lawcom.gov.uk/project/mental-capacity-and-deprivation-of-liberty</w:t>
              </w:r>
            </w:hyperlink>
            <w:r w:rsidR="007D6C8E" w:rsidRPr="00FE06B2">
              <w:rPr>
                <w:rFonts w:asciiTheme="minorHAnsi" w:hAnsiTheme="minorHAnsi"/>
                <w:sz w:val="20"/>
                <w:szCs w:val="20"/>
              </w:rPr>
              <w:t xml:space="preserve"> /  (Liberty Protection Safeguards)</w:t>
            </w:r>
          </w:p>
          <w:p w14:paraId="7638ECB0" w14:textId="77777777" w:rsidR="007D6C8E" w:rsidRPr="00FE06B2" w:rsidRDefault="001673C8" w:rsidP="007D6C8E">
            <w:pPr>
              <w:spacing w:after="160" w:line="259" w:lineRule="auto"/>
              <w:rPr>
                <w:rFonts w:asciiTheme="minorHAnsi" w:hAnsiTheme="minorHAnsi"/>
                <w:sz w:val="20"/>
                <w:szCs w:val="20"/>
              </w:rPr>
            </w:pPr>
            <w:hyperlink r:id="rId27" w:history="1">
              <w:r w:rsidR="007D6C8E" w:rsidRPr="00FE06B2">
                <w:rPr>
                  <w:rStyle w:val="Hyperlink"/>
                  <w:rFonts w:asciiTheme="minorHAnsi" w:eastAsiaTheme="majorEastAsia" w:hAnsiTheme="minorHAnsi"/>
                  <w:sz w:val="20"/>
                  <w:szCs w:val="20"/>
                </w:rPr>
                <w:t>https://www.bma.org.uk/advice/employment/ethics/mental-capacity/deprivation-of-liberty-safeguards</w:t>
              </w:r>
            </w:hyperlink>
            <w:r w:rsidR="007D6C8E" w:rsidRPr="00FE06B2">
              <w:rPr>
                <w:rFonts w:asciiTheme="minorHAnsi" w:hAnsiTheme="minorHAnsi"/>
                <w:sz w:val="20"/>
                <w:szCs w:val="20"/>
              </w:rPr>
              <w:t xml:space="preserve"> </w:t>
            </w:r>
          </w:p>
          <w:p w14:paraId="2A2BA5F9" w14:textId="77777777" w:rsidR="007D6C8E" w:rsidRDefault="007D6C8E" w:rsidP="007D6C8E">
            <w:pPr>
              <w:jc w:val="both"/>
              <w:rPr>
                <w:rStyle w:val="Hyperlink"/>
                <w:rFonts w:asciiTheme="minorHAnsi" w:eastAsiaTheme="majorEastAsia" w:hAnsiTheme="minorHAnsi"/>
                <w:sz w:val="20"/>
                <w:szCs w:val="20"/>
              </w:rPr>
            </w:pPr>
            <w:r w:rsidRPr="00FE06B2">
              <w:rPr>
                <w:rFonts w:asciiTheme="minorHAnsi" w:hAnsiTheme="minorHAnsi"/>
                <w:sz w:val="20"/>
                <w:szCs w:val="20"/>
              </w:rPr>
              <w:t xml:space="preserve">GMC guidance on consent: </w:t>
            </w:r>
            <w:hyperlink r:id="rId28" w:history="1">
              <w:r w:rsidRPr="00FE06B2">
                <w:rPr>
                  <w:rStyle w:val="Hyperlink"/>
                  <w:rFonts w:asciiTheme="minorHAnsi" w:eastAsiaTheme="majorEastAsia" w:hAnsiTheme="minorHAnsi"/>
                  <w:sz w:val="20"/>
                  <w:szCs w:val="20"/>
                </w:rPr>
                <w:t>https://www.gmc-uk.org/ethical-guidance/ethical-guidance-for-doctors/consent</w:t>
              </w:r>
            </w:hyperlink>
          </w:p>
          <w:p w14:paraId="5DCE4DDA" w14:textId="77777777" w:rsidR="007D6C8E" w:rsidRDefault="007D6C8E" w:rsidP="007D6C8E">
            <w:pPr>
              <w:jc w:val="both"/>
              <w:rPr>
                <w:rStyle w:val="Hyperlink"/>
                <w:rFonts w:eastAsiaTheme="majorEastAsia"/>
              </w:rPr>
            </w:pPr>
          </w:p>
          <w:p w14:paraId="20FF0872" w14:textId="3ED03E31" w:rsidR="007D6C8E" w:rsidRDefault="007D6C8E" w:rsidP="007D6C8E">
            <w:pPr>
              <w:spacing w:after="160" w:line="259" w:lineRule="auto"/>
              <w:rPr>
                <w:rFonts w:asciiTheme="minorHAnsi" w:hAnsiTheme="minorHAnsi"/>
                <w:sz w:val="20"/>
                <w:szCs w:val="20"/>
              </w:rPr>
            </w:pPr>
            <w:r w:rsidRPr="00FE06B2">
              <w:rPr>
                <w:rFonts w:asciiTheme="minorHAnsi" w:hAnsiTheme="minorHAnsi"/>
                <w:sz w:val="20"/>
                <w:szCs w:val="20"/>
              </w:rPr>
              <w:t>GMC vignettes on assessing mental capacity</w:t>
            </w:r>
            <w:r>
              <w:rPr>
                <w:rFonts w:asciiTheme="minorHAnsi" w:hAnsiTheme="minorHAnsi"/>
                <w:sz w:val="20"/>
                <w:szCs w:val="20"/>
              </w:rPr>
              <w:t xml:space="preserve">: </w:t>
            </w:r>
            <w:hyperlink r:id="rId29" w:history="1">
              <w:r w:rsidRPr="004B4E3D">
                <w:rPr>
                  <w:rStyle w:val="Hyperlink"/>
                  <w:rFonts w:asciiTheme="minorHAnsi" w:eastAsiaTheme="majorEastAsia" w:hAnsiTheme="minorHAnsi"/>
                  <w:sz w:val="20"/>
                  <w:szCs w:val="20"/>
                </w:rPr>
                <w:t>https://www.gmc-uk.org/Mental_Capacity_flowchart/CaseStudies</w:t>
              </w:r>
            </w:hyperlink>
          </w:p>
        </w:tc>
      </w:tr>
    </w:tbl>
    <w:p w14:paraId="1091F0BF" w14:textId="77777777" w:rsidR="007D6C8E" w:rsidRPr="00FE06B2" w:rsidRDefault="007D6C8E" w:rsidP="001A4120">
      <w:pPr>
        <w:jc w:val="both"/>
        <w:rPr>
          <w:rFonts w:asciiTheme="minorHAnsi" w:hAnsiTheme="minorHAnsi"/>
          <w:sz w:val="20"/>
          <w:szCs w:val="20"/>
        </w:rPr>
      </w:pPr>
    </w:p>
    <w:tbl>
      <w:tblPr>
        <w:tblStyle w:val="TableGrid"/>
        <w:tblW w:w="0" w:type="auto"/>
        <w:tblLook w:val="04A0" w:firstRow="1" w:lastRow="0" w:firstColumn="1" w:lastColumn="0" w:noHBand="0" w:noVBand="1"/>
      </w:tblPr>
      <w:tblGrid>
        <w:gridCol w:w="9016"/>
      </w:tblGrid>
      <w:tr w:rsidR="007D6C8E" w14:paraId="071C252A" w14:textId="77777777" w:rsidTr="007D6C8E">
        <w:tc>
          <w:tcPr>
            <w:tcW w:w="9016" w:type="dxa"/>
          </w:tcPr>
          <w:p w14:paraId="7F69562E" w14:textId="191DF78E" w:rsidR="007D6C8E" w:rsidRPr="007D6C8E" w:rsidRDefault="007D6C8E" w:rsidP="007D6C8E">
            <w:pPr>
              <w:jc w:val="center"/>
              <w:rPr>
                <w:rFonts w:asciiTheme="minorHAnsi" w:hAnsiTheme="minorHAnsi"/>
                <w:b/>
                <w:bCs/>
                <w:sz w:val="20"/>
                <w:szCs w:val="20"/>
              </w:rPr>
            </w:pPr>
            <w:r w:rsidRPr="007D6C8E">
              <w:rPr>
                <w:rFonts w:asciiTheme="minorHAnsi" w:hAnsiTheme="minorHAnsi"/>
                <w:b/>
                <w:bCs/>
                <w:sz w:val="20"/>
                <w:szCs w:val="20"/>
              </w:rPr>
              <w:t>Legislation and Landmark Cases</w:t>
            </w:r>
          </w:p>
        </w:tc>
      </w:tr>
      <w:tr w:rsidR="007D6C8E" w14:paraId="3B8C0131" w14:textId="77777777" w:rsidTr="007D6C8E">
        <w:tc>
          <w:tcPr>
            <w:tcW w:w="9016" w:type="dxa"/>
          </w:tcPr>
          <w:p w14:paraId="76E34428" w14:textId="77777777" w:rsidR="007D6C8E" w:rsidRPr="00FE06B2" w:rsidRDefault="007D6C8E" w:rsidP="007D6C8E">
            <w:pPr>
              <w:spacing w:after="160" w:line="259" w:lineRule="auto"/>
              <w:rPr>
                <w:rFonts w:asciiTheme="minorHAnsi" w:hAnsiTheme="minorHAnsi"/>
                <w:sz w:val="20"/>
                <w:szCs w:val="20"/>
              </w:rPr>
            </w:pPr>
            <w:r w:rsidRPr="00FE06B2">
              <w:rPr>
                <w:rFonts w:asciiTheme="minorHAnsi" w:hAnsiTheme="minorHAnsi"/>
                <w:sz w:val="20"/>
                <w:szCs w:val="20"/>
              </w:rPr>
              <w:t xml:space="preserve">The Mental Health Act (1983) </w:t>
            </w:r>
          </w:p>
          <w:p w14:paraId="61C7332F" w14:textId="77777777" w:rsidR="007D6C8E" w:rsidRPr="00FE06B2" w:rsidRDefault="007D6C8E" w:rsidP="007D6C8E">
            <w:pPr>
              <w:spacing w:after="160" w:line="259" w:lineRule="auto"/>
              <w:rPr>
                <w:rFonts w:asciiTheme="minorHAnsi" w:hAnsiTheme="minorHAnsi"/>
                <w:sz w:val="20"/>
                <w:szCs w:val="20"/>
              </w:rPr>
            </w:pPr>
            <w:r w:rsidRPr="00FE06B2">
              <w:rPr>
                <w:rFonts w:asciiTheme="minorHAnsi" w:hAnsiTheme="minorHAnsi"/>
                <w:sz w:val="20"/>
                <w:szCs w:val="20"/>
              </w:rPr>
              <w:t xml:space="preserve">The Mental Capacity Act (2005) </w:t>
            </w:r>
          </w:p>
          <w:p w14:paraId="40000081" w14:textId="77777777" w:rsidR="007D6C8E" w:rsidRPr="00FE06B2" w:rsidRDefault="007D6C8E" w:rsidP="007D6C8E">
            <w:pPr>
              <w:spacing w:after="160" w:line="259" w:lineRule="auto"/>
              <w:rPr>
                <w:rFonts w:asciiTheme="minorHAnsi" w:hAnsiTheme="minorHAnsi"/>
                <w:sz w:val="20"/>
                <w:szCs w:val="20"/>
              </w:rPr>
            </w:pPr>
            <w:r w:rsidRPr="00FE06B2">
              <w:rPr>
                <w:rFonts w:asciiTheme="minorHAnsi" w:hAnsiTheme="minorHAnsi"/>
                <w:sz w:val="20"/>
                <w:szCs w:val="20"/>
              </w:rPr>
              <w:t xml:space="preserve">Border v Lewisham and Greenwich NHS Trust [2015] EWCA </w:t>
            </w:r>
            <w:proofErr w:type="spellStart"/>
            <w:r w:rsidRPr="00FE06B2">
              <w:rPr>
                <w:rFonts w:asciiTheme="minorHAnsi" w:hAnsiTheme="minorHAnsi"/>
                <w:sz w:val="20"/>
                <w:szCs w:val="20"/>
              </w:rPr>
              <w:t>Civ</w:t>
            </w:r>
            <w:proofErr w:type="spellEnd"/>
            <w:r w:rsidRPr="00FE06B2">
              <w:rPr>
                <w:rFonts w:asciiTheme="minorHAnsi" w:hAnsiTheme="minorHAnsi"/>
                <w:sz w:val="20"/>
                <w:szCs w:val="20"/>
              </w:rPr>
              <w:t xml:space="preserve"> 8  </w:t>
            </w:r>
            <w:hyperlink r:id="rId30" w:history="1">
              <w:r w:rsidRPr="00FE06B2">
                <w:rPr>
                  <w:rStyle w:val="Hyperlink"/>
                  <w:rFonts w:asciiTheme="minorHAnsi" w:eastAsiaTheme="majorEastAsia" w:hAnsiTheme="minorHAnsi"/>
                  <w:sz w:val="20"/>
                  <w:szCs w:val="20"/>
                </w:rPr>
                <w:t>http://www.bailii.org/ew/cases/EWCA/Civ/2015/8.html</w:t>
              </w:r>
            </w:hyperlink>
            <w:r w:rsidRPr="00FE06B2">
              <w:rPr>
                <w:rFonts w:asciiTheme="minorHAnsi" w:hAnsiTheme="minorHAnsi"/>
                <w:sz w:val="20"/>
                <w:szCs w:val="20"/>
              </w:rPr>
              <w:t xml:space="preserve">) </w:t>
            </w:r>
          </w:p>
          <w:p w14:paraId="07BAB4AF" w14:textId="77777777" w:rsidR="007D6C8E" w:rsidRPr="00FE06B2" w:rsidRDefault="007D6C8E" w:rsidP="007D6C8E">
            <w:pPr>
              <w:spacing w:after="160" w:line="259" w:lineRule="auto"/>
              <w:rPr>
                <w:rFonts w:asciiTheme="minorHAnsi" w:hAnsiTheme="minorHAnsi"/>
                <w:sz w:val="20"/>
                <w:szCs w:val="20"/>
              </w:rPr>
            </w:pPr>
            <w:r w:rsidRPr="00FE06B2">
              <w:rPr>
                <w:rFonts w:asciiTheme="minorHAnsi" w:hAnsiTheme="minorHAnsi"/>
                <w:sz w:val="20"/>
                <w:szCs w:val="20"/>
              </w:rPr>
              <w:t xml:space="preserve">Montgomery v Lanarkshire Health Board [2015] UKSC 11 </w:t>
            </w:r>
            <w:hyperlink r:id="rId31" w:history="1">
              <w:r w:rsidRPr="00FE06B2">
                <w:rPr>
                  <w:rStyle w:val="Hyperlink"/>
                  <w:rFonts w:asciiTheme="minorHAnsi" w:eastAsiaTheme="majorEastAsia" w:hAnsiTheme="minorHAnsi"/>
                  <w:sz w:val="20"/>
                  <w:szCs w:val="20"/>
                </w:rPr>
                <w:t>https://www.supremecourt.uk/decided-cases/docs/UKSC_2013_0136_Judgment.pdf</w:t>
              </w:r>
            </w:hyperlink>
            <w:r w:rsidRPr="00FE06B2">
              <w:rPr>
                <w:rFonts w:asciiTheme="minorHAnsi" w:hAnsiTheme="minorHAnsi"/>
                <w:sz w:val="20"/>
                <w:szCs w:val="20"/>
              </w:rPr>
              <w:t xml:space="preserve"> (See especially the test of ‘materiality’ at paragraph 87.</w:t>
            </w:r>
          </w:p>
          <w:p w14:paraId="76CD4F82" w14:textId="77777777" w:rsidR="007D6C8E" w:rsidRPr="00FE06B2" w:rsidRDefault="007D6C8E" w:rsidP="007D6C8E">
            <w:pPr>
              <w:spacing w:after="160" w:line="259" w:lineRule="auto"/>
              <w:rPr>
                <w:rFonts w:asciiTheme="minorHAnsi" w:hAnsiTheme="minorHAnsi"/>
                <w:sz w:val="20"/>
                <w:szCs w:val="20"/>
              </w:rPr>
            </w:pPr>
            <w:r w:rsidRPr="00FE06B2">
              <w:rPr>
                <w:rFonts w:asciiTheme="minorHAnsi" w:hAnsiTheme="minorHAnsi"/>
                <w:sz w:val="20"/>
                <w:szCs w:val="20"/>
              </w:rPr>
              <w:t xml:space="preserve">R (the application of Oliver Leslie Burke) v General Medical Council (defendant) and </w:t>
            </w:r>
            <w:proofErr w:type="spellStart"/>
            <w:r w:rsidRPr="00FE06B2">
              <w:rPr>
                <w:rFonts w:asciiTheme="minorHAnsi" w:hAnsiTheme="minorHAnsi"/>
                <w:sz w:val="20"/>
                <w:szCs w:val="20"/>
              </w:rPr>
              <w:t>Ors</w:t>
            </w:r>
            <w:proofErr w:type="spellEnd"/>
            <w:r w:rsidRPr="00FE06B2">
              <w:rPr>
                <w:rFonts w:asciiTheme="minorHAnsi" w:hAnsiTheme="minorHAnsi"/>
                <w:sz w:val="20"/>
                <w:szCs w:val="20"/>
              </w:rPr>
              <w:t xml:space="preserve"> </w:t>
            </w:r>
            <w:proofErr w:type="gramStart"/>
            <w:r w:rsidRPr="00FE06B2">
              <w:rPr>
                <w:rFonts w:asciiTheme="minorHAnsi" w:hAnsiTheme="minorHAnsi"/>
                <w:sz w:val="20"/>
                <w:szCs w:val="20"/>
              </w:rPr>
              <w:t>[ 2005</w:t>
            </w:r>
            <w:proofErr w:type="gramEnd"/>
            <w:r w:rsidRPr="00FE06B2">
              <w:rPr>
                <w:rFonts w:asciiTheme="minorHAnsi" w:hAnsiTheme="minorHAnsi"/>
                <w:sz w:val="20"/>
                <w:szCs w:val="20"/>
              </w:rPr>
              <w:t xml:space="preserve">] EWCA </w:t>
            </w:r>
            <w:proofErr w:type="spellStart"/>
            <w:r w:rsidRPr="00FE06B2">
              <w:rPr>
                <w:rFonts w:asciiTheme="minorHAnsi" w:hAnsiTheme="minorHAnsi"/>
                <w:sz w:val="20"/>
                <w:szCs w:val="20"/>
              </w:rPr>
              <w:t>Civ</w:t>
            </w:r>
            <w:proofErr w:type="spellEnd"/>
            <w:r w:rsidRPr="00FE06B2">
              <w:rPr>
                <w:rFonts w:asciiTheme="minorHAnsi" w:hAnsiTheme="minorHAnsi"/>
                <w:sz w:val="20"/>
                <w:szCs w:val="20"/>
              </w:rPr>
              <w:t xml:space="preserve"> 1003. </w:t>
            </w:r>
            <w:hyperlink r:id="rId32" w:history="1">
              <w:r w:rsidRPr="00FE06B2">
                <w:rPr>
                  <w:rStyle w:val="Hyperlink"/>
                  <w:rFonts w:asciiTheme="minorHAnsi" w:eastAsiaTheme="majorEastAsia" w:hAnsiTheme="minorHAnsi"/>
                  <w:sz w:val="20"/>
                  <w:szCs w:val="20"/>
                </w:rPr>
                <w:t>http://www.familylawweek.co.uk/site.aspx?i=ed409</w:t>
              </w:r>
            </w:hyperlink>
            <w:r w:rsidRPr="00FE06B2">
              <w:rPr>
                <w:rFonts w:asciiTheme="minorHAnsi" w:hAnsiTheme="minorHAnsi"/>
                <w:sz w:val="20"/>
                <w:szCs w:val="20"/>
              </w:rPr>
              <w:t xml:space="preserve">  </w:t>
            </w:r>
          </w:p>
          <w:p w14:paraId="5DCA78E0" w14:textId="1E25BB1C" w:rsidR="007D6C8E" w:rsidRDefault="007D6C8E" w:rsidP="007D6C8E">
            <w:pPr>
              <w:rPr>
                <w:rFonts w:asciiTheme="minorHAnsi" w:hAnsiTheme="minorHAnsi"/>
                <w:sz w:val="20"/>
                <w:szCs w:val="20"/>
              </w:rPr>
            </w:pPr>
            <w:r w:rsidRPr="00FE06B2">
              <w:rPr>
                <w:rFonts w:asciiTheme="minorHAnsi" w:hAnsiTheme="minorHAnsi"/>
                <w:sz w:val="20"/>
                <w:szCs w:val="20"/>
              </w:rPr>
              <w:t xml:space="preserve">For the legal requirement to discuss alternatives see </w:t>
            </w:r>
            <w:r>
              <w:rPr>
                <w:rFonts w:asciiTheme="minorHAnsi" w:hAnsiTheme="minorHAnsi"/>
                <w:sz w:val="20"/>
                <w:szCs w:val="20"/>
              </w:rPr>
              <w:t xml:space="preserve">: </w:t>
            </w:r>
            <w:r w:rsidRPr="00FE06B2">
              <w:rPr>
                <w:rFonts w:asciiTheme="minorHAnsi" w:hAnsiTheme="minorHAnsi"/>
                <w:sz w:val="20"/>
                <w:szCs w:val="20"/>
              </w:rPr>
              <w:t>SXX v Liverpool Women’s NHS Foundation Trust [2015] EWHC 4072</w:t>
            </w:r>
          </w:p>
        </w:tc>
      </w:tr>
    </w:tbl>
    <w:p w14:paraId="4AA7B029" w14:textId="77777777" w:rsidR="00670E4A" w:rsidRPr="00FE06B2" w:rsidRDefault="00670E4A" w:rsidP="00670E4A">
      <w:pPr>
        <w:rPr>
          <w:rFonts w:asciiTheme="minorHAnsi" w:hAnsiTheme="minorHAnsi"/>
          <w:sz w:val="20"/>
          <w:szCs w:val="20"/>
        </w:rPr>
      </w:pPr>
    </w:p>
    <w:p w14:paraId="74BC3513" w14:textId="453231D7" w:rsidR="00511BDD" w:rsidRPr="007D6C8E" w:rsidRDefault="00670E4A" w:rsidP="007D6C8E">
      <w:pPr>
        <w:spacing w:after="160" w:line="259" w:lineRule="auto"/>
        <w:rPr>
          <w:rFonts w:asciiTheme="minorHAnsi" w:hAnsiTheme="minorHAnsi"/>
          <w:sz w:val="20"/>
          <w:szCs w:val="20"/>
        </w:rPr>
      </w:pPr>
      <w:r w:rsidRPr="00FE06B2">
        <w:rPr>
          <w:rFonts w:asciiTheme="minorHAnsi" w:hAnsiTheme="minorHAnsi"/>
          <w:sz w:val="20"/>
          <w:szCs w:val="20"/>
        </w:rPr>
        <w:br w:type="page"/>
      </w:r>
    </w:p>
    <w:p w14:paraId="6BEFFD98" w14:textId="70E099F1" w:rsidR="00511BDD" w:rsidRDefault="00511BDD">
      <w:pPr>
        <w:rPr>
          <w:rFonts w:asciiTheme="minorHAnsi" w:hAnsiTheme="minorHAnsi"/>
          <w:b/>
          <w:bCs/>
          <w:smallCaps/>
          <w:color w:val="000000" w:themeColor="text1"/>
        </w:rPr>
      </w:pPr>
    </w:p>
    <w:p w14:paraId="0B75618D" w14:textId="734CFF6D" w:rsidR="00670E4A" w:rsidRPr="003867BC" w:rsidRDefault="00670E4A" w:rsidP="00670E4A">
      <w:pPr>
        <w:jc w:val="center"/>
        <w:rPr>
          <w:rFonts w:asciiTheme="minorHAnsi" w:hAnsiTheme="minorHAnsi"/>
          <w:b/>
          <w:bCs/>
          <w:smallCaps/>
          <w:color w:val="000000" w:themeColor="text1"/>
        </w:rPr>
      </w:pPr>
      <w:r w:rsidRPr="003867BC">
        <w:rPr>
          <w:rFonts w:asciiTheme="minorHAnsi" w:hAnsiTheme="minorHAnsi"/>
          <w:b/>
          <w:bCs/>
          <w:smallCaps/>
          <w:color w:val="000000" w:themeColor="text1"/>
        </w:rPr>
        <w:t>CONFIDENTIALITY</w:t>
      </w:r>
    </w:p>
    <w:p w14:paraId="312C1BF7" w14:textId="77777777" w:rsidR="00670E4A" w:rsidRPr="00FE06B2" w:rsidRDefault="00670E4A" w:rsidP="00670E4A">
      <w:pPr>
        <w:rPr>
          <w:rFonts w:asciiTheme="minorHAnsi" w:hAnsiTheme="minorHAnsi"/>
          <w:b/>
          <w:color w:val="000000" w:themeColor="text1"/>
          <w:sz w:val="20"/>
          <w:szCs w:val="20"/>
        </w:rPr>
      </w:pPr>
    </w:p>
    <w:p w14:paraId="469B9B9C" w14:textId="77777777" w:rsidR="00B475C1" w:rsidRDefault="00511BDD" w:rsidP="001A4120">
      <w:pPr>
        <w:jc w:val="both"/>
        <w:rPr>
          <w:rFonts w:asciiTheme="minorHAnsi" w:eastAsia="Arial" w:hAnsiTheme="minorHAnsi"/>
          <w:color w:val="000000" w:themeColor="text1"/>
          <w:sz w:val="20"/>
          <w:szCs w:val="20"/>
        </w:rPr>
      </w:pPr>
      <w:r>
        <w:rPr>
          <w:rFonts w:asciiTheme="minorHAnsi" w:eastAsia="Arial" w:hAnsiTheme="minorHAnsi"/>
          <w:color w:val="000000" w:themeColor="text1"/>
          <w:sz w:val="20"/>
          <w:szCs w:val="20"/>
        </w:rPr>
        <w:t>Respect for c</w:t>
      </w:r>
      <w:r w:rsidR="00670E4A" w:rsidRPr="00FE06B2">
        <w:rPr>
          <w:rFonts w:asciiTheme="minorHAnsi" w:eastAsia="Arial" w:hAnsiTheme="minorHAnsi"/>
          <w:color w:val="000000" w:themeColor="text1"/>
          <w:sz w:val="20"/>
          <w:szCs w:val="20"/>
        </w:rPr>
        <w:t xml:space="preserve">onfidentiality is essential in ensuring patients trust their doctors. </w:t>
      </w:r>
      <w:r>
        <w:rPr>
          <w:rFonts w:asciiTheme="minorHAnsi" w:eastAsia="Arial" w:hAnsiTheme="minorHAnsi"/>
          <w:color w:val="000000" w:themeColor="text1"/>
          <w:sz w:val="20"/>
          <w:szCs w:val="20"/>
        </w:rPr>
        <w:t xml:space="preserve"> </w:t>
      </w:r>
      <w:r w:rsidR="00670E4A" w:rsidRPr="00FE06B2">
        <w:rPr>
          <w:rFonts w:asciiTheme="minorHAnsi" w:eastAsia="Arial" w:hAnsiTheme="minorHAnsi"/>
          <w:color w:val="000000" w:themeColor="text1"/>
          <w:sz w:val="20"/>
          <w:szCs w:val="20"/>
        </w:rPr>
        <w:t xml:space="preserve">With increasingly complex models of healthcare, changing uses of personal patient data, and sharing of patient information between services, confidentiality can be difficult to maintain in day-to-day practice.  Students will have access to confidential patient information from their first day on the ward. </w:t>
      </w:r>
      <w:r w:rsidR="00670E4A">
        <w:rPr>
          <w:rFonts w:asciiTheme="minorHAnsi" w:eastAsia="Arial" w:hAnsiTheme="minorHAnsi"/>
          <w:color w:val="000000" w:themeColor="text1"/>
          <w:sz w:val="20"/>
          <w:szCs w:val="20"/>
        </w:rPr>
        <w:t xml:space="preserve"> </w:t>
      </w:r>
      <w:r w:rsidR="00670E4A" w:rsidRPr="00FE06B2">
        <w:rPr>
          <w:rFonts w:asciiTheme="minorHAnsi" w:eastAsia="Arial" w:hAnsiTheme="minorHAnsi"/>
          <w:color w:val="000000" w:themeColor="text1"/>
          <w:sz w:val="20"/>
          <w:szCs w:val="20"/>
        </w:rPr>
        <w:t>It is therefore essential they are equipped to understand what is meant by confidentiality</w:t>
      </w:r>
      <w:r w:rsidR="00670E4A">
        <w:rPr>
          <w:rFonts w:asciiTheme="minorHAnsi" w:eastAsia="Arial" w:hAnsiTheme="minorHAnsi"/>
          <w:color w:val="000000" w:themeColor="text1"/>
          <w:sz w:val="20"/>
          <w:szCs w:val="20"/>
        </w:rPr>
        <w:t xml:space="preserve"> and </w:t>
      </w:r>
      <w:r w:rsidR="00B55A7A">
        <w:rPr>
          <w:rFonts w:asciiTheme="minorHAnsi" w:eastAsia="Arial" w:hAnsiTheme="minorHAnsi"/>
          <w:color w:val="000000" w:themeColor="text1"/>
          <w:sz w:val="20"/>
          <w:szCs w:val="20"/>
        </w:rPr>
        <w:t xml:space="preserve">the </w:t>
      </w:r>
      <w:r w:rsidR="00670E4A" w:rsidRPr="00FE06B2">
        <w:rPr>
          <w:rFonts w:asciiTheme="minorHAnsi" w:eastAsia="Arial" w:hAnsiTheme="minorHAnsi"/>
          <w:color w:val="000000" w:themeColor="text1"/>
          <w:sz w:val="20"/>
          <w:szCs w:val="20"/>
        </w:rPr>
        <w:t>limits</w:t>
      </w:r>
      <w:r w:rsidR="00B55A7A">
        <w:rPr>
          <w:rFonts w:asciiTheme="minorHAnsi" w:eastAsia="Arial" w:hAnsiTheme="minorHAnsi"/>
          <w:color w:val="000000" w:themeColor="text1"/>
          <w:sz w:val="20"/>
          <w:szCs w:val="20"/>
        </w:rPr>
        <w:t xml:space="preserve"> to confidentiality</w:t>
      </w:r>
      <w:r w:rsidR="00670E4A" w:rsidRPr="00FE06B2">
        <w:rPr>
          <w:rFonts w:asciiTheme="minorHAnsi" w:eastAsia="Arial" w:hAnsiTheme="minorHAnsi"/>
          <w:color w:val="000000" w:themeColor="text1"/>
          <w:sz w:val="20"/>
          <w:szCs w:val="20"/>
        </w:rPr>
        <w:t xml:space="preserve">, </w:t>
      </w:r>
      <w:r w:rsidR="00B55A7A">
        <w:rPr>
          <w:rFonts w:asciiTheme="minorHAnsi" w:eastAsia="Arial" w:hAnsiTheme="minorHAnsi"/>
          <w:color w:val="000000" w:themeColor="text1"/>
          <w:sz w:val="20"/>
          <w:szCs w:val="20"/>
        </w:rPr>
        <w:t xml:space="preserve">demonstrating awareness of </w:t>
      </w:r>
      <w:r w:rsidR="00670E4A" w:rsidRPr="00FE06B2">
        <w:rPr>
          <w:rFonts w:asciiTheme="minorHAnsi" w:eastAsia="Arial" w:hAnsiTheme="minorHAnsi"/>
          <w:color w:val="000000" w:themeColor="text1"/>
          <w:sz w:val="20"/>
          <w:szCs w:val="20"/>
        </w:rPr>
        <w:t>when overriding confidentiality might be appropriate</w:t>
      </w:r>
      <w:r w:rsidR="00B55A7A">
        <w:rPr>
          <w:rFonts w:asciiTheme="minorHAnsi" w:eastAsia="Arial" w:hAnsiTheme="minorHAnsi"/>
          <w:color w:val="000000" w:themeColor="text1"/>
          <w:sz w:val="20"/>
          <w:szCs w:val="20"/>
        </w:rPr>
        <w:t>, and how to preserve patient autonomy as far as possible when sharing confidential information</w:t>
      </w:r>
      <w:r w:rsidR="00670E4A" w:rsidRPr="00FE06B2">
        <w:rPr>
          <w:rFonts w:asciiTheme="minorHAnsi" w:eastAsia="Arial" w:hAnsiTheme="minorHAnsi"/>
          <w:color w:val="000000" w:themeColor="text1"/>
          <w:sz w:val="20"/>
          <w:szCs w:val="20"/>
        </w:rPr>
        <w:t xml:space="preserve">.  </w:t>
      </w:r>
    </w:p>
    <w:p w14:paraId="51023B6C" w14:textId="77777777" w:rsidR="00B475C1" w:rsidRDefault="00B475C1" w:rsidP="001A4120">
      <w:pPr>
        <w:jc w:val="both"/>
        <w:rPr>
          <w:rFonts w:asciiTheme="minorHAnsi" w:eastAsia="Arial" w:hAnsiTheme="minorHAnsi"/>
          <w:color w:val="000000" w:themeColor="text1"/>
          <w:sz w:val="20"/>
          <w:szCs w:val="20"/>
        </w:rPr>
      </w:pPr>
    </w:p>
    <w:p w14:paraId="783D57DF" w14:textId="256650F2" w:rsidR="00670E4A" w:rsidRPr="00B475C1" w:rsidRDefault="00670E4A" w:rsidP="001A4120">
      <w:pPr>
        <w:jc w:val="both"/>
        <w:rPr>
          <w:rFonts w:asciiTheme="minorHAnsi" w:hAnsiTheme="minorHAnsi"/>
          <w:color w:val="000000" w:themeColor="text1"/>
          <w:sz w:val="20"/>
          <w:szCs w:val="20"/>
        </w:rPr>
      </w:pPr>
      <w:r w:rsidRPr="00FE06B2">
        <w:rPr>
          <w:rFonts w:asciiTheme="minorHAnsi" w:eastAsia="Arial" w:hAnsiTheme="minorHAnsi"/>
          <w:color w:val="000000" w:themeColor="text1"/>
          <w:sz w:val="20"/>
          <w:szCs w:val="20"/>
        </w:rPr>
        <w:t xml:space="preserve">Areas you may wish to cover include children, communicable diseases, data storage and sharing, </w:t>
      </w:r>
      <w:r w:rsidR="00B475C1" w:rsidRPr="00FE06B2">
        <w:rPr>
          <w:rFonts w:asciiTheme="minorHAnsi" w:eastAsia="Arial" w:hAnsiTheme="minorHAnsi"/>
          <w:color w:val="000000" w:themeColor="text1"/>
          <w:sz w:val="20"/>
          <w:szCs w:val="20"/>
        </w:rPr>
        <w:t>online</w:t>
      </w:r>
      <w:r w:rsidR="00B475C1">
        <w:rPr>
          <w:rFonts w:asciiTheme="minorHAnsi" w:eastAsia="Arial" w:hAnsiTheme="minorHAnsi"/>
          <w:color w:val="000000" w:themeColor="text1"/>
          <w:sz w:val="20"/>
          <w:szCs w:val="20"/>
        </w:rPr>
        <w:t xml:space="preserve"> use of identifying data, </w:t>
      </w:r>
      <w:r w:rsidRPr="00FE06B2">
        <w:rPr>
          <w:rFonts w:asciiTheme="minorHAnsi" w:eastAsia="Arial" w:hAnsiTheme="minorHAnsi"/>
          <w:color w:val="000000" w:themeColor="text1"/>
          <w:sz w:val="20"/>
          <w:szCs w:val="20"/>
        </w:rPr>
        <w:t>social media driving</w:t>
      </w:r>
      <w:r w:rsidR="00B55A7A">
        <w:rPr>
          <w:rFonts w:asciiTheme="minorHAnsi" w:eastAsia="Arial" w:hAnsiTheme="minorHAnsi"/>
          <w:color w:val="000000" w:themeColor="text1"/>
          <w:sz w:val="20"/>
          <w:szCs w:val="20"/>
        </w:rPr>
        <w:t>/DVLA</w:t>
      </w:r>
      <w:r w:rsidR="00B475C1">
        <w:rPr>
          <w:rFonts w:asciiTheme="minorHAnsi" w:eastAsia="Arial" w:hAnsiTheme="minorHAnsi"/>
          <w:color w:val="000000" w:themeColor="text1"/>
          <w:sz w:val="20"/>
          <w:szCs w:val="20"/>
        </w:rPr>
        <w:t xml:space="preserve"> and </w:t>
      </w:r>
      <w:r w:rsidRPr="00FE06B2">
        <w:rPr>
          <w:rFonts w:asciiTheme="minorHAnsi" w:eastAsia="Arial" w:hAnsiTheme="minorHAnsi"/>
          <w:color w:val="000000" w:themeColor="text1"/>
          <w:sz w:val="20"/>
          <w:szCs w:val="20"/>
        </w:rPr>
        <w:t xml:space="preserve">genetics.  </w:t>
      </w:r>
    </w:p>
    <w:p w14:paraId="64610863" w14:textId="185C99E2" w:rsidR="00670E4A" w:rsidRDefault="00670E4A" w:rsidP="001A4120">
      <w:pPr>
        <w:jc w:val="both"/>
        <w:rPr>
          <w:rFonts w:asciiTheme="minorHAnsi" w:eastAsia="Arial" w:hAnsiTheme="minorHAnsi" w:cs="Arial"/>
          <w:color w:val="000000" w:themeColor="text1"/>
          <w:sz w:val="20"/>
          <w:szCs w:val="20"/>
        </w:rPr>
      </w:pPr>
    </w:p>
    <w:p w14:paraId="33883317" w14:textId="18BDEE5B" w:rsidR="007D6C8E" w:rsidRDefault="007D6C8E" w:rsidP="001A4120">
      <w:pPr>
        <w:jc w:val="both"/>
        <w:rPr>
          <w:rFonts w:asciiTheme="minorHAnsi" w:eastAsia="Arial" w:hAnsiTheme="minorHAnsi" w:cs="Arial"/>
          <w:color w:val="000000" w:themeColor="text1"/>
          <w:sz w:val="20"/>
          <w:szCs w:val="20"/>
        </w:rPr>
      </w:pPr>
    </w:p>
    <w:tbl>
      <w:tblPr>
        <w:tblStyle w:val="TableGrid"/>
        <w:tblW w:w="0" w:type="auto"/>
        <w:tblLook w:val="04A0" w:firstRow="1" w:lastRow="0" w:firstColumn="1" w:lastColumn="0" w:noHBand="0" w:noVBand="1"/>
      </w:tblPr>
      <w:tblGrid>
        <w:gridCol w:w="9016"/>
      </w:tblGrid>
      <w:tr w:rsidR="007D6C8E" w14:paraId="072AD063" w14:textId="77777777" w:rsidTr="00954D43">
        <w:tc>
          <w:tcPr>
            <w:tcW w:w="9016" w:type="dxa"/>
          </w:tcPr>
          <w:p w14:paraId="160CE145" w14:textId="5A8D01D3" w:rsidR="007D6C8E" w:rsidRPr="007D6C8E" w:rsidRDefault="007D6C8E" w:rsidP="00954D43">
            <w:pPr>
              <w:jc w:val="center"/>
              <w:rPr>
                <w:rFonts w:asciiTheme="minorHAnsi" w:hAnsiTheme="minorHAnsi"/>
                <w:b/>
                <w:sz w:val="20"/>
                <w:szCs w:val="20"/>
              </w:rPr>
            </w:pPr>
            <w:r w:rsidRPr="00FE06B2">
              <w:rPr>
                <w:rFonts w:asciiTheme="minorHAnsi" w:hAnsiTheme="minorHAnsi"/>
                <w:b/>
                <w:sz w:val="20"/>
                <w:szCs w:val="20"/>
              </w:rPr>
              <w:t>Useful resources</w:t>
            </w:r>
          </w:p>
        </w:tc>
      </w:tr>
      <w:tr w:rsidR="007D6C8E" w14:paraId="2F152204" w14:textId="77777777" w:rsidTr="00954D43">
        <w:tc>
          <w:tcPr>
            <w:tcW w:w="9016" w:type="dxa"/>
          </w:tcPr>
          <w:p w14:paraId="0755FFC2" w14:textId="77777777" w:rsidR="007D6C8E" w:rsidRDefault="007D6C8E" w:rsidP="00954D43">
            <w:pPr>
              <w:pStyle w:val="FootnoteText"/>
              <w:ind w:left="720"/>
              <w:rPr>
                <w:rFonts w:asciiTheme="minorHAnsi" w:hAnsiTheme="minorHAnsi" w:cstheme="majorHAnsi"/>
                <w:color w:val="000000" w:themeColor="text1"/>
              </w:rPr>
            </w:pPr>
            <w:bookmarkStart w:id="1" w:name="_Hlk47538938"/>
          </w:p>
          <w:p w14:paraId="66A5B13D" w14:textId="77777777" w:rsidR="007D6C8E" w:rsidRPr="00FE06B2" w:rsidRDefault="007D6C8E" w:rsidP="00954D43">
            <w:pPr>
              <w:pStyle w:val="FootnoteText"/>
              <w:ind w:left="720"/>
              <w:rPr>
                <w:rFonts w:asciiTheme="minorHAnsi" w:hAnsiTheme="minorHAnsi" w:cstheme="majorHAnsi"/>
                <w:color w:val="000000" w:themeColor="text1"/>
              </w:rPr>
            </w:pPr>
            <w:bookmarkStart w:id="2" w:name="_Hlk47540016"/>
            <w:r w:rsidRPr="00FE06B2">
              <w:rPr>
                <w:rFonts w:asciiTheme="minorHAnsi" w:hAnsiTheme="minorHAnsi" w:cstheme="majorHAnsi"/>
                <w:color w:val="000000" w:themeColor="text1"/>
              </w:rPr>
              <w:t>British Medical Association. (No date). Confidentiality and health records tool kit. Retrieved from: https://www.bma.org.uk/advice/employment/ethics/confidentiality-and-health-records/confidentiality-and-health-records-tool-kit</w:t>
            </w:r>
          </w:p>
          <w:p w14:paraId="7D8D69DE" w14:textId="77777777" w:rsidR="007D6C8E" w:rsidRDefault="007D6C8E" w:rsidP="00954D43">
            <w:pPr>
              <w:pStyle w:val="ListParagraph"/>
              <w:widowControl w:val="0"/>
              <w:shd w:val="clear" w:color="auto" w:fill="FFFFFF" w:themeFill="background1"/>
              <w:autoSpaceDE w:val="0"/>
              <w:autoSpaceDN w:val="0"/>
              <w:adjustRightInd w:val="0"/>
              <w:rPr>
                <w:rFonts w:asciiTheme="minorHAnsi" w:hAnsiTheme="minorHAnsi" w:cstheme="minorHAnsi"/>
                <w:sz w:val="20"/>
                <w:szCs w:val="20"/>
              </w:rPr>
            </w:pPr>
          </w:p>
          <w:p w14:paraId="35235B64" w14:textId="77777777" w:rsidR="007D6C8E" w:rsidRPr="00500575" w:rsidRDefault="007D6C8E" w:rsidP="00954D43">
            <w:pPr>
              <w:pStyle w:val="ListParagraph"/>
              <w:widowControl w:val="0"/>
              <w:shd w:val="clear" w:color="auto" w:fill="FFFFFF" w:themeFill="background1"/>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sz w:val="20"/>
                <w:szCs w:val="20"/>
              </w:rPr>
              <w:t xml:space="preserve">General Medical Council resources: </w:t>
            </w:r>
            <w:hyperlink r:id="rId33" w:history="1">
              <w:r w:rsidRPr="001D44F1">
                <w:rPr>
                  <w:rStyle w:val="Hyperlink"/>
                  <w:rFonts w:asciiTheme="minorHAnsi" w:eastAsiaTheme="majorEastAsia" w:hAnsiTheme="minorHAnsi" w:cstheme="minorHAnsi"/>
                  <w:sz w:val="20"/>
                  <w:szCs w:val="20"/>
                </w:rPr>
                <w:t>https://www.gmc-uk.org/ethical-guidance/ethical-guidance-for-doctors/confidentiality</w:t>
              </w:r>
            </w:hyperlink>
          </w:p>
          <w:p w14:paraId="2875DAFB" w14:textId="77777777" w:rsidR="007D6C8E" w:rsidRDefault="007D6C8E" w:rsidP="00954D43">
            <w:pPr>
              <w:pStyle w:val="ListParagraph"/>
              <w:widowControl w:val="0"/>
              <w:shd w:val="clear" w:color="auto" w:fill="FFFFFF" w:themeFill="background1"/>
              <w:autoSpaceDE w:val="0"/>
              <w:autoSpaceDN w:val="0"/>
              <w:adjustRightInd w:val="0"/>
              <w:rPr>
                <w:rFonts w:asciiTheme="minorHAnsi" w:hAnsiTheme="minorHAnsi" w:cstheme="majorHAnsi"/>
                <w:color w:val="000000" w:themeColor="text1"/>
                <w:sz w:val="20"/>
                <w:szCs w:val="20"/>
              </w:rPr>
            </w:pPr>
          </w:p>
          <w:p w14:paraId="4C5E85E1" w14:textId="207CB548" w:rsidR="007D6C8E" w:rsidRDefault="007D6C8E" w:rsidP="00954D43">
            <w:pPr>
              <w:pStyle w:val="ListParagraph"/>
              <w:widowControl w:val="0"/>
              <w:shd w:val="clear" w:color="auto" w:fill="FFFFFF" w:themeFill="background1"/>
              <w:autoSpaceDE w:val="0"/>
              <w:autoSpaceDN w:val="0"/>
              <w:adjustRightInd w:val="0"/>
              <w:rPr>
                <w:rFonts w:asciiTheme="minorHAnsi" w:hAnsiTheme="minorHAnsi" w:cstheme="majorHAnsi"/>
                <w:color w:val="000000" w:themeColor="text1"/>
                <w:sz w:val="20"/>
                <w:szCs w:val="20"/>
              </w:rPr>
            </w:pPr>
            <w:r w:rsidRPr="00FE06B2">
              <w:rPr>
                <w:rFonts w:asciiTheme="minorHAnsi" w:hAnsiTheme="minorHAnsi" w:cstheme="majorHAnsi"/>
                <w:color w:val="000000" w:themeColor="text1"/>
                <w:sz w:val="20"/>
                <w:szCs w:val="20"/>
              </w:rPr>
              <w:t>Gillon</w:t>
            </w:r>
            <w:r w:rsidR="00D556C6">
              <w:rPr>
                <w:rFonts w:asciiTheme="minorHAnsi" w:hAnsiTheme="minorHAnsi" w:cstheme="majorHAnsi"/>
                <w:color w:val="000000" w:themeColor="text1"/>
                <w:sz w:val="20"/>
                <w:szCs w:val="20"/>
              </w:rPr>
              <w:t>,</w:t>
            </w:r>
            <w:r w:rsidRPr="00FE06B2">
              <w:rPr>
                <w:rFonts w:asciiTheme="minorHAnsi" w:hAnsiTheme="minorHAnsi" w:cstheme="majorHAnsi"/>
                <w:color w:val="000000" w:themeColor="text1"/>
                <w:sz w:val="20"/>
                <w:szCs w:val="20"/>
              </w:rPr>
              <w:t xml:space="preserve"> R. (1998). Confidentiality. In: </w:t>
            </w:r>
            <w:proofErr w:type="spellStart"/>
            <w:r w:rsidRPr="00FE06B2">
              <w:rPr>
                <w:rFonts w:asciiTheme="minorHAnsi" w:hAnsiTheme="minorHAnsi" w:cstheme="majorHAnsi"/>
                <w:color w:val="000000" w:themeColor="text1"/>
                <w:sz w:val="20"/>
                <w:szCs w:val="20"/>
              </w:rPr>
              <w:t>Kuhse</w:t>
            </w:r>
            <w:proofErr w:type="spellEnd"/>
            <w:r w:rsidR="00D556C6">
              <w:rPr>
                <w:rFonts w:asciiTheme="minorHAnsi" w:hAnsiTheme="minorHAnsi" w:cstheme="majorHAnsi"/>
                <w:color w:val="000000" w:themeColor="text1"/>
                <w:sz w:val="20"/>
                <w:szCs w:val="20"/>
              </w:rPr>
              <w:t>,</w:t>
            </w:r>
            <w:r w:rsidRPr="00FE06B2">
              <w:rPr>
                <w:rFonts w:asciiTheme="minorHAnsi" w:hAnsiTheme="minorHAnsi" w:cstheme="majorHAnsi"/>
                <w:color w:val="000000" w:themeColor="text1"/>
                <w:sz w:val="20"/>
                <w:szCs w:val="20"/>
              </w:rPr>
              <w:t xml:space="preserve"> H</w:t>
            </w:r>
            <w:r w:rsidR="00D556C6">
              <w:rPr>
                <w:rFonts w:asciiTheme="minorHAnsi" w:hAnsiTheme="minorHAnsi" w:cstheme="majorHAnsi"/>
                <w:color w:val="000000" w:themeColor="text1"/>
                <w:sz w:val="20"/>
                <w:szCs w:val="20"/>
              </w:rPr>
              <w:t>.</w:t>
            </w:r>
            <w:r w:rsidRPr="00FE06B2">
              <w:rPr>
                <w:rFonts w:asciiTheme="minorHAnsi" w:hAnsiTheme="minorHAnsi" w:cstheme="majorHAnsi"/>
                <w:color w:val="000000" w:themeColor="text1"/>
                <w:sz w:val="20"/>
                <w:szCs w:val="20"/>
              </w:rPr>
              <w:t xml:space="preserve"> and Singer</w:t>
            </w:r>
            <w:r w:rsidR="00D556C6">
              <w:rPr>
                <w:rFonts w:asciiTheme="minorHAnsi" w:hAnsiTheme="minorHAnsi" w:cstheme="majorHAnsi"/>
                <w:color w:val="000000" w:themeColor="text1"/>
                <w:sz w:val="20"/>
                <w:szCs w:val="20"/>
              </w:rPr>
              <w:t>,</w:t>
            </w:r>
            <w:r w:rsidRPr="00FE06B2">
              <w:rPr>
                <w:rFonts w:asciiTheme="minorHAnsi" w:hAnsiTheme="minorHAnsi" w:cstheme="majorHAnsi"/>
                <w:color w:val="000000" w:themeColor="text1"/>
                <w:sz w:val="20"/>
                <w:szCs w:val="20"/>
              </w:rPr>
              <w:t xml:space="preserve"> P</w:t>
            </w:r>
            <w:r w:rsidR="00D556C6">
              <w:rPr>
                <w:rFonts w:asciiTheme="minorHAnsi" w:hAnsiTheme="minorHAnsi" w:cstheme="majorHAnsi"/>
                <w:color w:val="000000" w:themeColor="text1"/>
                <w:sz w:val="20"/>
                <w:szCs w:val="20"/>
              </w:rPr>
              <w:t>.</w:t>
            </w:r>
            <w:r w:rsidRPr="00FE06B2">
              <w:rPr>
                <w:rFonts w:asciiTheme="minorHAnsi" w:hAnsiTheme="minorHAnsi" w:cstheme="majorHAnsi"/>
                <w:color w:val="000000" w:themeColor="text1"/>
                <w:sz w:val="20"/>
                <w:szCs w:val="20"/>
              </w:rPr>
              <w:t xml:space="preserve"> (eds.) </w:t>
            </w:r>
            <w:r w:rsidRPr="00FE06B2">
              <w:rPr>
                <w:rFonts w:asciiTheme="minorHAnsi" w:hAnsiTheme="minorHAnsi" w:cstheme="majorHAnsi"/>
                <w:i/>
                <w:color w:val="000000" w:themeColor="text1"/>
                <w:sz w:val="20"/>
                <w:szCs w:val="20"/>
              </w:rPr>
              <w:t>A Companion to Bioethics</w:t>
            </w:r>
            <w:r w:rsidRPr="00FE06B2">
              <w:rPr>
                <w:rFonts w:asciiTheme="minorHAnsi" w:hAnsiTheme="minorHAnsi" w:cstheme="majorHAnsi"/>
                <w:color w:val="000000" w:themeColor="text1"/>
                <w:sz w:val="20"/>
                <w:szCs w:val="20"/>
              </w:rPr>
              <w:t xml:space="preserve">. Blackwell: Oxford. Pages 425-31 </w:t>
            </w:r>
          </w:p>
          <w:p w14:paraId="6142F981" w14:textId="77777777" w:rsidR="007D6C8E" w:rsidRDefault="007D6C8E" w:rsidP="00954D43">
            <w:pPr>
              <w:pStyle w:val="ListParagraph"/>
              <w:widowControl w:val="0"/>
              <w:shd w:val="clear" w:color="auto" w:fill="FFFFFF" w:themeFill="background1"/>
              <w:autoSpaceDE w:val="0"/>
              <w:autoSpaceDN w:val="0"/>
              <w:adjustRightInd w:val="0"/>
              <w:rPr>
                <w:rFonts w:asciiTheme="minorHAnsi" w:hAnsiTheme="minorHAnsi" w:cstheme="majorHAnsi"/>
                <w:color w:val="000000" w:themeColor="text1"/>
                <w:sz w:val="20"/>
                <w:szCs w:val="20"/>
              </w:rPr>
            </w:pPr>
          </w:p>
          <w:p w14:paraId="616AB1DD" w14:textId="6B435170" w:rsidR="007D6C8E" w:rsidRDefault="007D6C8E" w:rsidP="00954D43">
            <w:pPr>
              <w:pStyle w:val="ListParagraph"/>
              <w:widowControl w:val="0"/>
              <w:shd w:val="clear" w:color="auto" w:fill="FFFFFF" w:themeFill="background1"/>
              <w:autoSpaceDE w:val="0"/>
              <w:autoSpaceDN w:val="0"/>
              <w:adjustRightInd w:val="0"/>
              <w:rPr>
                <w:rStyle w:val="nlm-surname"/>
                <w:rFonts w:asciiTheme="minorHAnsi" w:hAnsiTheme="minorHAnsi"/>
                <w:color w:val="333333"/>
                <w:sz w:val="20"/>
                <w:szCs w:val="20"/>
                <w:bdr w:val="none" w:sz="0" w:space="0" w:color="auto" w:frame="1"/>
              </w:rPr>
            </w:pPr>
            <w:r w:rsidRPr="00FE06B2">
              <w:rPr>
                <w:rFonts w:asciiTheme="minorHAnsi" w:hAnsiTheme="minorHAnsi" w:cstheme="majorHAnsi"/>
                <w:color w:val="000000" w:themeColor="text1"/>
                <w:sz w:val="20"/>
                <w:szCs w:val="20"/>
              </w:rPr>
              <w:t>Slowther</w:t>
            </w:r>
            <w:r w:rsidR="00D556C6">
              <w:rPr>
                <w:rFonts w:asciiTheme="minorHAnsi" w:hAnsiTheme="minorHAnsi" w:cstheme="majorHAnsi"/>
                <w:color w:val="000000" w:themeColor="text1"/>
                <w:sz w:val="20"/>
                <w:szCs w:val="20"/>
              </w:rPr>
              <w:t>,</w:t>
            </w:r>
            <w:r w:rsidRPr="00FE06B2">
              <w:rPr>
                <w:rFonts w:asciiTheme="minorHAnsi" w:hAnsiTheme="minorHAnsi" w:cstheme="majorHAnsi"/>
                <w:color w:val="000000" w:themeColor="text1"/>
                <w:sz w:val="20"/>
                <w:szCs w:val="20"/>
              </w:rPr>
              <w:t xml:space="preserve"> A. (2010). Confidentiality in primary care: ethical and legal considerations. </w:t>
            </w:r>
            <w:r w:rsidRPr="00FE06B2">
              <w:rPr>
                <w:rFonts w:asciiTheme="minorHAnsi" w:hAnsiTheme="minorHAnsi" w:cstheme="majorHAnsi"/>
                <w:i/>
                <w:color w:val="000000" w:themeColor="text1"/>
                <w:sz w:val="20"/>
                <w:szCs w:val="20"/>
              </w:rPr>
              <w:t>InnovAiT</w:t>
            </w:r>
            <w:r w:rsidRPr="00FE06B2">
              <w:rPr>
                <w:rFonts w:asciiTheme="minorHAnsi" w:hAnsiTheme="minorHAnsi" w:cstheme="majorHAnsi"/>
                <w:color w:val="000000" w:themeColor="text1"/>
                <w:sz w:val="20"/>
                <w:szCs w:val="20"/>
              </w:rPr>
              <w:t>, Vol. 3, No. 12, pp. 753–759, 2010 doi:10.1093/</w:t>
            </w:r>
            <w:proofErr w:type="spellStart"/>
            <w:r w:rsidRPr="00FE06B2">
              <w:rPr>
                <w:rFonts w:asciiTheme="minorHAnsi" w:hAnsiTheme="minorHAnsi" w:cstheme="majorHAnsi"/>
                <w:color w:val="000000" w:themeColor="text1"/>
                <w:sz w:val="20"/>
                <w:szCs w:val="20"/>
              </w:rPr>
              <w:t>innovait</w:t>
            </w:r>
            <w:proofErr w:type="spellEnd"/>
            <w:r w:rsidRPr="00FE06B2">
              <w:rPr>
                <w:rFonts w:asciiTheme="minorHAnsi" w:hAnsiTheme="minorHAnsi" w:cstheme="majorHAnsi"/>
                <w:color w:val="000000" w:themeColor="text1"/>
                <w:sz w:val="20"/>
                <w:szCs w:val="20"/>
              </w:rPr>
              <w:t>/inq096</w:t>
            </w:r>
            <w:r w:rsidRPr="00FE06B2">
              <w:rPr>
                <w:rStyle w:val="nlm-surname"/>
                <w:rFonts w:asciiTheme="minorHAnsi" w:hAnsiTheme="minorHAnsi"/>
                <w:color w:val="333333"/>
                <w:sz w:val="20"/>
                <w:szCs w:val="20"/>
                <w:bdr w:val="none" w:sz="0" w:space="0" w:color="auto" w:frame="1"/>
              </w:rPr>
              <w:t xml:space="preserve"> </w:t>
            </w:r>
          </w:p>
          <w:p w14:paraId="5536499E" w14:textId="77777777" w:rsidR="007D6C8E" w:rsidRDefault="007D6C8E" w:rsidP="00954D43">
            <w:pPr>
              <w:pStyle w:val="ListParagraph"/>
              <w:widowControl w:val="0"/>
              <w:shd w:val="clear" w:color="auto" w:fill="FFFFFF" w:themeFill="background1"/>
              <w:autoSpaceDE w:val="0"/>
              <w:autoSpaceDN w:val="0"/>
              <w:adjustRightInd w:val="0"/>
              <w:rPr>
                <w:rStyle w:val="nlm-surname"/>
                <w:rFonts w:asciiTheme="minorHAnsi" w:hAnsiTheme="minorHAnsi"/>
                <w:color w:val="333333"/>
                <w:sz w:val="20"/>
                <w:szCs w:val="20"/>
                <w:bdr w:val="none" w:sz="0" w:space="0" w:color="auto" w:frame="1"/>
              </w:rPr>
            </w:pPr>
          </w:p>
          <w:p w14:paraId="1EB3268A" w14:textId="36C626B4" w:rsidR="007D6C8E" w:rsidRPr="00B475C1" w:rsidRDefault="007D6C8E" w:rsidP="00954D43">
            <w:pPr>
              <w:pStyle w:val="ListParagraph"/>
              <w:widowControl w:val="0"/>
              <w:shd w:val="clear" w:color="auto" w:fill="FFFFFF" w:themeFill="background1"/>
              <w:autoSpaceDE w:val="0"/>
              <w:autoSpaceDN w:val="0"/>
              <w:adjustRightInd w:val="0"/>
              <w:rPr>
                <w:rStyle w:val="highwire-cite-metadata-volume"/>
                <w:rFonts w:asciiTheme="minorHAnsi" w:hAnsiTheme="minorHAnsi" w:cstheme="majorHAnsi"/>
                <w:color w:val="000000" w:themeColor="text1"/>
                <w:sz w:val="20"/>
                <w:szCs w:val="20"/>
              </w:rPr>
            </w:pPr>
            <w:proofErr w:type="gramStart"/>
            <w:r w:rsidRPr="00FE06B2">
              <w:rPr>
                <w:rStyle w:val="nlm-surname"/>
                <w:rFonts w:asciiTheme="minorHAnsi" w:hAnsiTheme="minorHAnsi"/>
                <w:color w:val="333333"/>
                <w:sz w:val="20"/>
                <w:szCs w:val="20"/>
                <w:bdr w:val="none" w:sz="0" w:space="0" w:color="auto" w:frame="1"/>
              </w:rPr>
              <w:t>Sokol</w:t>
            </w:r>
            <w:r w:rsidRPr="00FE06B2">
              <w:rPr>
                <w:rStyle w:val="apple-converted-space"/>
                <w:rFonts w:asciiTheme="minorHAnsi" w:hAnsiTheme="minorHAnsi"/>
                <w:color w:val="333333"/>
                <w:sz w:val="20"/>
                <w:szCs w:val="20"/>
                <w:bdr w:val="none" w:sz="0" w:space="0" w:color="auto" w:frame="1"/>
              </w:rPr>
              <w:t> </w:t>
            </w:r>
            <w:r w:rsidR="00D556C6">
              <w:rPr>
                <w:rStyle w:val="apple-converted-space"/>
                <w:rFonts w:asciiTheme="minorHAnsi" w:hAnsiTheme="minorHAnsi"/>
                <w:color w:val="333333"/>
                <w:sz w:val="20"/>
                <w:szCs w:val="20"/>
                <w:bdr w:val="none" w:sz="0" w:space="0" w:color="auto" w:frame="1"/>
              </w:rPr>
              <w:t>,</w:t>
            </w:r>
            <w:r w:rsidRPr="00FE06B2">
              <w:rPr>
                <w:rStyle w:val="nlm-given-names"/>
                <w:rFonts w:asciiTheme="minorHAnsi" w:hAnsiTheme="minorHAnsi"/>
                <w:color w:val="333333"/>
                <w:sz w:val="20"/>
                <w:szCs w:val="20"/>
                <w:bdr w:val="none" w:sz="0" w:space="0" w:color="auto" w:frame="1"/>
              </w:rPr>
              <w:t>D</w:t>
            </w:r>
            <w:proofErr w:type="gramEnd"/>
            <w:r w:rsidRPr="00FE06B2">
              <w:rPr>
                <w:rStyle w:val="highwire-cite-authors"/>
                <w:rFonts w:asciiTheme="minorHAnsi" w:hAnsiTheme="minorHAnsi"/>
                <w:color w:val="333333"/>
                <w:sz w:val="20"/>
                <w:szCs w:val="20"/>
                <w:bdr w:val="none" w:sz="0" w:space="0" w:color="auto" w:frame="1"/>
              </w:rPr>
              <w:t>.</w:t>
            </w:r>
            <w:r w:rsidRPr="00FE06B2">
              <w:rPr>
                <w:rStyle w:val="apple-converted-space"/>
                <w:rFonts w:asciiTheme="minorHAnsi" w:hAnsiTheme="minorHAnsi"/>
                <w:color w:val="333333"/>
                <w:sz w:val="20"/>
                <w:szCs w:val="20"/>
                <w:bdr w:val="none" w:sz="0" w:space="0" w:color="auto" w:frame="1"/>
              </w:rPr>
              <w:t> </w:t>
            </w:r>
            <w:r w:rsidRPr="00FE06B2">
              <w:rPr>
                <w:rStyle w:val="highwire-cite-title"/>
                <w:rFonts w:asciiTheme="minorHAnsi" w:hAnsiTheme="minorHAnsi"/>
                <w:color w:val="333333"/>
                <w:sz w:val="20"/>
                <w:szCs w:val="20"/>
                <w:bdr w:val="none" w:sz="0" w:space="0" w:color="auto" w:frame="1"/>
              </w:rPr>
              <w:t>Should healthcare professionals breach confidentiality when a patient is unfit to drive?</w:t>
            </w:r>
            <w:r w:rsidRPr="00FE06B2">
              <w:rPr>
                <w:rStyle w:val="apple-converted-space"/>
                <w:rFonts w:asciiTheme="minorHAnsi" w:hAnsiTheme="minorHAnsi"/>
                <w:color w:val="333333"/>
                <w:sz w:val="20"/>
                <w:szCs w:val="20"/>
                <w:shd w:val="clear" w:color="auto" w:fill="EEEEEE"/>
              </w:rPr>
              <w:t> </w:t>
            </w:r>
            <w:r w:rsidRPr="00FE06B2">
              <w:rPr>
                <w:rFonts w:asciiTheme="minorHAnsi" w:hAnsiTheme="minorHAnsi"/>
                <w:color w:val="333333"/>
                <w:sz w:val="20"/>
                <w:szCs w:val="20"/>
                <w:shd w:val="clear" w:color="auto" w:fill="EEEEEE"/>
              </w:rPr>
              <w:t xml:space="preserve"> </w:t>
            </w:r>
            <w:r w:rsidRPr="00FE06B2">
              <w:rPr>
                <w:rStyle w:val="highwire-cite-metadata-journal"/>
                <w:rFonts w:asciiTheme="minorHAnsi" w:hAnsiTheme="minorHAnsi"/>
                <w:i/>
                <w:iCs/>
                <w:color w:val="333333"/>
                <w:sz w:val="20"/>
                <w:szCs w:val="20"/>
                <w:bdr w:val="none" w:sz="0" w:space="0" w:color="auto" w:frame="1"/>
              </w:rPr>
              <w:t>BMJ</w:t>
            </w:r>
            <w:r w:rsidRPr="00FE06B2">
              <w:rPr>
                <w:rStyle w:val="apple-converted-space"/>
                <w:rFonts w:asciiTheme="minorHAnsi" w:hAnsiTheme="minorHAnsi"/>
                <w:i/>
                <w:iCs/>
                <w:color w:val="333333"/>
                <w:sz w:val="20"/>
                <w:szCs w:val="20"/>
                <w:bdr w:val="none" w:sz="0" w:space="0" w:color="auto" w:frame="1"/>
              </w:rPr>
              <w:t>  </w:t>
            </w:r>
            <w:r w:rsidRPr="00FE06B2">
              <w:rPr>
                <w:rStyle w:val="highwire-cite-metadata-date"/>
                <w:rFonts w:asciiTheme="minorHAnsi" w:hAnsiTheme="minorHAnsi"/>
                <w:color w:val="555555"/>
                <w:sz w:val="20"/>
                <w:szCs w:val="20"/>
                <w:bdr w:val="none" w:sz="0" w:space="0" w:color="auto" w:frame="1"/>
              </w:rPr>
              <w:t>2017;</w:t>
            </w:r>
            <w:r w:rsidRPr="00FE06B2">
              <w:rPr>
                <w:rStyle w:val="apple-converted-space"/>
                <w:rFonts w:asciiTheme="minorHAnsi" w:hAnsiTheme="minorHAnsi"/>
                <w:color w:val="555555"/>
                <w:sz w:val="20"/>
                <w:szCs w:val="20"/>
                <w:bdr w:val="none" w:sz="0" w:space="0" w:color="auto" w:frame="1"/>
              </w:rPr>
              <w:t>  </w:t>
            </w:r>
            <w:r w:rsidRPr="00FE06B2">
              <w:rPr>
                <w:rStyle w:val="highwire-cite-metadata-volume"/>
                <w:rFonts w:asciiTheme="minorHAnsi" w:hAnsiTheme="minorHAnsi"/>
                <w:color w:val="333333"/>
                <w:sz w:val="20"/>
                <w:szCs w:val="20"/>
                <w:bdr w:val="none" w:sz="0" w:space="0" w:color="auto" w:frame="1"/>
              </w:rPr>
              <w:t>356</w:t>
            </w:r>
            <w:r w:rsidRPr="00FE06B2">
              <w:rPr>
                <w:rStyle w:val="apple-converted-space"/>
                <w:rFonts w:asciiTheme="minorHAnsi" w:hAnsiTheme="minorHAnsi"/>
                <w:color w:val="333333"/>
                <w:sz w:val="20"/>
                <w:szCs w:val="20"/>
                <w:bdr w:val="none" w:sz="0" w:space="0" w:color="auto" w:frame="1"/>
              </w:rPr>
              <w:t> </w:t>
            </w:r>
            <w:r w:rsidRPr="00FE06B2">
              <w:rPr>
                <w:rStyle w:val="highwire-cite-metadata-volume"/>
                <w:rFonts w:asciiTheme="minorHAnsi" w:hAnsiTheme="minorHAnsi"/>
                <w:color w:val="333333"/>
                <w:sz w:val="20"/>
                <w:szCs w:val="20"/>
                <w:bdr w:val="none" w:sz="0" w:space="0" w:color="auto" w:frame="1"/>
              </w:rPr>
              <w:t>:j1505</w:t>
            </w:r>
          </w:p>
          <w:bookmarkEnd w:id="2"/>
          <w:p w14:paraId="59DA4470" w14:textId="77777777" w:rsidR="007D6C8E" w:rsidRPr="00FE06B2" w:rsidRDefault="007D6C8E" w:rsidP="00954D43">
            <w:pPr>
              <w:pStyle w:val="ListParagraph"/>
              <w:widowControl w:val="0"/>
              <w:shd w:val="clear" w:color="auto" w:fill="FFFFFF" w:themeFill="background1"/>
              <w:autoSpaceDE w:val="0"/>
              <w:autoSpaceDN w:val="0"/>
              <w:adjustRightInd w:val="0"/>
              <w:rPr>
                <w:rFonts w:asciiTheme="minorHAnsi" w:hAnsiTheme="minorHAnsi" w:cstheme="majorHAnsi"/>
                <w:color w:val="000000" w:themeColor="text1"/>
                <w:sz w:val="20"/>
                <w:szCs w:val="20"/>
              </w:rPr>
            </w:pPr>
          </w:p>
          <w:p w14:paraId="68460F63" w14:textId="77777777" w:rsidR="00D556C6" w:rsidRPr="00FE06B2" w:rsidRDefault="00D556C6" w:rsidP="00D556C6">
            <w:pPr>
              <w:pStyle w:val="FootnoteText"/>
              <w:ind w:left="720"/>
              <w:rPr>
                <w:rFonts w:asciiTheme="minorHAnsi" w:hAnsiTheme="minorHAnsi" w:cstheme="majorHAnsi"/>
                <w:color w:val="000000" w:themeColor="text1"/>
              </w:rPr>
            </w:pPr>
            <w:r w:rsidRPr="00FE06B2">
              <w:rPr>
                <w:rFonts w:asciiTheme="minorHAnsi" w:hAnsiTheme="minorHAnsi" w:cstheme="majorHAnsi"/>
                <w:color w:val="000000" w:themeColor="text1"/>
              </w:rPr>
              <w:t>UK Clinical Ethics Network. (No date). Ethical Issues – Confidentiality. Retrieved from: http://www.ukcen.net/ethical_issues/confidentiality</w:t>
            </w:r>
          </w:p>
          <w:p w14:paraId="25806165" w14:textId="77777777" w:rsidR="007D6C8E" w:rsidRDefault="007D6C8E" w:rsidP="00954D43">
            <w:pPr>
              <w:pStyle w:val="ListParagraph"/>
              <w:widowControl w:val="0"/>
              <w:shd w:val="clear" w:color="auto" w:fill="FFFFFF" w:themeFill="background1"/>
              <w:autoSpaceDE w:val="0"/>
              <w:autoSpaceDN w:val="0"/>
              <w:adjustRightInd w:val="0"/>
              <w:rPr>
                <w:rFonts w:asciiTheme="minorHAnsi" w:hAnsiTheme="minorHAnsi" w:cstheme="majorHAnsi"/>
                <w:color w:val="000000" w:themeColor="text1"/>
                <w:sz w:val="20"/>
                <w:szCs w:val="20"/>
              </w:rPr>
            </w:pPr>
          </w:p>
          <w:p w14:paraId="492517F6" w14:textId="77777777" w:rsidR="007D6C8E" w:rsidRDefault="007D6C8E" w:rsidP="00954D43">
            <w:pPr>
              <w:pStyle w:val="ListParagraph"/>
              <w:widowControl w:val="0"/>
              <w:shd w:val="clear" w:color="auto" w:fill="FFFFFF" w:themeFill="background1"/>
              <w:autoSpaceDE w:val="0"/>
              <w:autoSpaceDN w:val="0"/>
              <w:adjustRightInd w:val="0"/>
              <w:rPr>
                <w:rFonts w:asciiTheme="minorHAnsi" w:eastAsia="Arial" w:hAnsiTheme="minorHAnsi" w:cs="Arial"/>
                <w:color w:val="000000" w:themeColor="text1"/>
                <w:sz w:val="20"/>
                <w:szCs w:val="20"/>
              </w:rPr>
            </w:pPr>
          </w:p>
        </w:tc>
      </w:tr>
    </w:tbl>
    <w:p w14:paraId="58C6D1A3" w14:textId="77777777" w:rsidR="007D6C8E" w:rsidRPr="00FE06B2" w:rsidRDefault="007D6C8E" w:rsidP="007D6C8E">
      <w:pPr>
        <w:rPr>
          <w:rFonts w:asciiTheme="minorHAnsi" w:eastAsia="Arial" w:hAnsiTheme="minorHAnsi" w:cs="Arial"/>
          <w:color w:val="000000" w:themeColor="text1"/>
          <w:sz w:val="20"/>
          <w:szCs w:val="20"/>
        </w:rPr>
      </w:pPr>
    </w:p>
    <w:bookmarkEnd w:id="1"/>
    <w:p w14:paraId="496DD839" w14:textId="77777777" w:rsidR="007D6C8E" w:rsidRDefault="007D6C8E" w:rsidP="001A4120">
      <w:pPr>
        <w:jc w:val="both"/>
        <w:rPr>
          <w:rFonts w:asciiTheme="minorHAnsi" w:eastAsia="Arial" w:hAnsiTheme="minorHAnsi" w:cs="Arial"/>
          <w:color w:val="000000" w:themeColor="text1"/>
          <w:sz w:val="20"/>
          <w:szCs w:val="20"/>
        </w:rPr>
      </w:pPr>
    </w:p>
    <w:p w14:paraId="50649830" w14:textId="77777777" w:rsidR="00B475C1" w:rsidRPr="00FE06B2" w:rsidRDefault="00B475C1" w:rsidP="001A4120">
      <w:pPr>
        <w:jc w:val="both"/>
        <w:rPr>
          <w:rFonts w:asciiTheme="minorHAnsi" w:eastAsia="Arial" w:hAnsiTheme="minorHAnsi" w:cs="Arial"/>
          <w:color w:val="000000" w:themeColor="text1"/>
          <w:sz w:val="20"/>
          <w:szCs w:val="20"/>
        </w:rPr>
      </w:pPr>
    </w:p>
    <w:tbl>
      <w:tblPr>
        <w:tblStyle w:val="TableGrid"/>
        <w:tblW w:w="0" w:type="auto"/>
        <w:tblLook w:val="04A0" w:firstRow="1" w:lastRow="0" w:firstColumn="1" w:lastColumn="0" w:noHBand="0" w:noVBand="1"/>
      </w:tblPr>
      <w:tblGrid>
        <w:gridCol w:w="9016"/>
      </w:tblGrid>
      <w:tr w:rsidR="00B475C1" w14:paraId="500FE1CC" w14:textId="77777777" w:rsidTr="00B475C1">
        <w:tc>
          <w:tcPr>
            <w:tcW w:w="9016" w:type="dxa"/>
          </w:tcPr>
          <w:p w14:paraId="0D6E0058" w14:textId="5EDDB01E" w:rsidR="00B475C1" w:rsidRPr="00B475C1" w:rsidRDefault="00B475C1" w:rsidP="00B475C1">
            <w:pPr>
              <w:spacing w:after="160" w:line="259" w:lineRule="auto"/>
              <w:jc w:val="center"/>
              <w:rPr>
                <w:rFonts w:asciiTheme="minorHAnsi" w:hAnsiTheme="minorHAnsi"/>
                <w:b/>
                <w:bCs/>
                <w:color w:val="000000" w:themeColor="text1"/>
                <w:sz w:val="20"/>
                <w:szCs w:val="20"/>
              </w:rPr>
            </w:pPr>
            <w:r w:rsidRPr="00B475C1">
              <w:rPr>
                <w:rFonts w:asciiTheme="minorHAnsi" w:hAnsiTheme="minorHAnsi"/>
                <w:b/>
                <w:bCs/>
                <w:color w:val="000000" w:themeColor="text1"/>
                <w:sz w:val="20"/>
                <w:szCs w:val="20"/>
              </w:rPr>
              <w:t>Legislation and Landmark Cases</w:t>
            </w:r>
          </w:p>
        </w:tc>
      </w:tr>
      <w:tr w:rsidR="00B475C1" w14:paraId="5F3A31C9" w14:textId="77777777" w:rsidTr="00B475C1">
        <w:tc>
          <w:tcPr>
            <w:tcW w:w="9016" w:type="dxa"/>
          </w:tcPr>
          <w:p w14:paraId="602A750B" w14:textId="77777777" w:rsidR="00B475C1" w:rsidRPr="00FE06B2" w:rsidRDefault="00B475C1" w:rsidP="00B475C1">
            <w:pPr>
              <w:spacing w:after="160" w:line="259" w:lineRule="auto"/>
              <w:rPr>
                <w:rFonts w:asciiTheme="minorHAnsi" w:hAnsiTheme="minorHAnsi"/>
                <w:color w:val="000000" w:themeColor="text1"/>
                <w:sz w:val="20"/>
                <w:szCs w:val="20"/>
              </w:rPr>
            </w:pPr>
            <w:r w:rsidRPr="00FE06B2">
              <w:rPr>
                <w:rFonts w:asciiTheme="minorHAnsi" w:hAnsiTheme="minorHAnsi"/>
                <w:color w:val="000000" w:themeColor="text1"/>
                <w:sz w:val="20"/>
                <w:szCs w:val="20"/>
              </w:rPr>
              <w:t xml:space="preserve">Human Rights Act 1998 – Article 8 </w:t>
            </w:r>
          </w:p>
          <w:p w14:paraId="57D90747" w14:textId="77777777" w:rsidR="00B475C1" w:rsidRPr="00FE06B2" w:rsidRDefault="00B475C1" w:rsidP="00B475C1">
            <w:pPr>
              <w:spacing w:after="160" w:line="259" w:lineRule="auto"/>
              <w:rPr>
                <w:rFonts w:asciiTheme="minorHAnsi" w:hAnsiTheme="minorHAnsi"/>
                <w:color w:val="000000" w:themeColor="text1"/>
                <w:sz w:val="20"/>
                <w:szCs w:val="20"/>
              </w:rPr>
            </w:pPr>
            <w:r w:rsidRPr="00FE06B2">
              <w:rPr>
                <w:rFonts w:asciiTheme="minorHAnsi" w:hAnsiTheme="minorHAnsi"/>
                <w:color w:val="000000" w:themeColor="text1"/>
                <w:sz w:val="20"/>
                <w:szCs w:val="20"/>
              </w:rPr>
              <w:t>Road Traffic Act 1988</w:t>
            </w:r>
          </w:p>
          <w:p w14:paraId="3BF9184B" w14:textId="77777777" w:rsidR="00B475C1" w:rsidRPr="00FE06B2" w:rsidRDefault="00B475C1" w:rsidP="00B475C1">
            <w:pPr>
              <w:spacing w:after="160" w:line="259" w:lineRule="auto"/>
              <w:rPr>
                <w:rFonts w:asciiTheme="minorHAnsi" w:hAnsiTheme="minorHAnsi"/>
                <w:color w:val="000000" w:themeColor="text1"/>
                <w:sz w:val="20"/>
                <w:szCs w:val="20"/>
              </w:rPr>
            </w:pPr>
            <w:r w:rsidRPr="00FE06B2">
              <w:rPr>
                <w:rFonts w:asciiTheme="minorHAnsi" w:hAnsiTheme="minorHAnsi"/>
                <w:color w:val="000000" w:themeColor="text1"/>
                <w:sz w:val="20"/>
                <w:szCs w:val="20"/>
              </w:rPr>
              <w:t>Data Protection Act 1998</w:t>
            </w:r>
          </w:p>
          <w:p w14:paraId="5E25C57E" w14:textId="77777777" w:rsidR="00B475C1" w:rsidRPr="00FE06B2" w:rsidRDefault="00B475C1" w:rsidP="00B475C1">
            <w:pPr>
              <w:spacing w:after="160" w:line="259" w:lineRule="auto"/>
              <w:rPr>
                <w:rFonts w:asciiTheme="minorHAnsi" w:hAnsiTheme="minorHAnsi"/>
                <w:color w:val="000000" w:themeColor="text1"/>
                <w:sz w:val="20"/>
                <w:szCs w:val="20"/>
              </w:rPr>
            </w:pPr>
            <w:r w:rsidRPr="00FE06B2">
              <w:rPr>
                <w:rFonts w:asciiTheme="minorHAnsi" w:hAnsiTheme="minorHAnsi"/>
                <w:color w:val="000000" w:themeColor="text1"/>
                <w:sz w:val="20"/>
                <w:szCs w:val="20"/>
              </w:rPr>
              <w:t>Human Fertilisation and Embryology Act 1990</w:t>
            </w:r>
          </w:p>
          <w:p w14:paraId="6A166137" w14:textId="77777777" w:rsidR="00B475C1" w:rsidRPr="00FE06B2" w:rsidRDefault="00B475C1" w:rsidP="00B475C1">
            <w:pPr>
              <w:spacing w:after="160" w:line="259" w:lineRule="auto"/>
              <w:rPr>
                <w:rFonts w:asciiTheme="minorHAnsi" w:hAnsiTheme="minorHAnsi"/>
                <w:color w:val="000000" w:themeColor="text1"/>
                <w:sz w:val="20"/>
                <w:szCs w:val="20"/>
              </w:rPr>
            </w:pPr>
            <w:r w:rsidRPr="00FE06B2">
              <w:rPr>
                <w:rFonts w:asciiTheme="minorHAnsi" w:hAnsiTheme="minorHAnsi"/>
                <w:color w:val="000000" w:themeColor="text1"/>
                <w:sz w:val="20"/>
                <w:szCs w:val="20"/>
              </w:rPr>
              <w:t>Children Act 1989</w:t>
            </w:r>
          </w:p>
          <w:p w14:paraId="779C7124" w14:textId="77777777" w:rsidR="00B475C1" w:rsidRPr="00FE06B2" w:rsidRDefault="00B475C1" w:rsidP="00B475C1">
            <w:pPr>
              <w:spacing w:after="160" w:line="259" w:lineRule="auto"/>
              <w:rPr>
                <w:rFonts w:asciiTheme="minorHAnsi" w:hAnsiTheme="minorHAnsi"/>
                <w:color w:val="000000" w:themeColor="text1"/>
                <w:sz w:val="20"/>
                <w:szCs w:val="20"/>
              </w:rPr>
            </w:pPr>
            <w:r w:rsidRPr="00FE06B2">
              <w:rPr>
                <w:rFonts w:asciiTheme="minorHAnsi" w:eastAsia="Arial" w:hAnsiTheme="minorHAnsi" w:cs="Arial"/>
                <w:color w:val="000000" w:themeColor="text1"/>
                <w:sz w:val="20"/>
                <w:szCs w:val="20"/>
              </w:rPr>
              <w:t>Trusts and Primary Care Trusts (Sexually Transmitted Diseases) Directions 2000</w:t>
            </w:r>
          </w:p>
          <w:p w14:paraId="47AD5D13" w14:textId="77777777" w:rsidR="00B475C1" w:rsidRPr="00FE06B2" w:rsidRDefault="00B475C1" w:rsidP="00B475C1">
            <w:pPr>
              <w:spacing w:after="160" w:line="259" w:lineRule="auto"/>
              <w:rPr>
                <w:rFonts w:asciiTheme="minorHAnsi" w:hAnsiTheme="minorHAnsi"/>
                <w:color w:val="000000" w:themeColor="text1"/>
                <w:sz w:val="20"/>
                <w:szCs w:val="20"/>
              </w:rPr>
            </w:pPr>
            <w:r w:rsidRPr="00FE06B2">
              <w:rPr>
                <w:rFonts w:asciiTheme="minorHAnsi" w:hAnsiTheme="minorHAnsi"/>
                <w:color w:val="000000" w:themeColor="text1"/>
                <w:sz w:val="20"/>
                <w:szCs w:val="20"/>
              </w:rPr>
              <w:t>Prevention of Terrorism Act 2000</w:t>
            </w:r>
          </w:p>
          <w:p w14:paraId="60D88A6D" w14:textId="77777777" w:rsidR="00B475C1" w:rsidRPr="00FE06B2" w:rsidRDefault="00B475C1" w:rsidP="00B475C1">
            <w:pPr>
              <w:spacing w:after="160" w:line="259" w:lineRule="auto"/>
              <w:rPr>
                <w:rFonts w:asciiTheme="minorHAnsi" w:hAnsiTheme="minorHAnsi"/>
                <w:color w:val="000000" w:themeColor="text1"/>
                <w:sz w:val="20"/>
                <w:szCs w:val="20"/>
              </w:rPr>
            </w:pPr>
            <w:r w:rsidRPr="00FE06B2">
              <w:rPr>
                <w:rFonts w:asciiTheme="minorHAnsi" w:hAnsiTheme="minorHAnsi" w:cs="Arial"/>
                <w:color w:val="000000" w:themeColor="text1"/>
                <w:sz w:val="20"/>
                <w:szCs w:val="20"/>
                <w:lang w:val="en-US"/>
              </w:rPr>
              <w:t>Serious Crime Act 2015</w:t>
            </w:r>
          </w:p>
          <w:p w14:paraId="4047D2C7" w14:textId="77777777" w:rsidR="00D556C6" w:rsidRPr="00FE06B2" w:rsidRDefault="00D556C6" w:rsidP="00D556C6">
            <w:pPr>
              <w:widowControl w:val="0"/>
              <w:shd w:val="clear" w:color="auto" w:fill="FFFFFF" w:themeFill="background1"/>
              <w:autoSpaceDE w:val="0"/>
              <w:autoSpaceDN w:val="0"/>
              <w:adjustRightInd w:val="0"/>
              <w:rPr>
                <w:rFonts w:asciiTheme="minorHAnsi" w:hAnsiTheme="minorHAnsi"/>
                <w:color w:val="000000" w:themeColor="text1"/>
                <w:sz w:val="20"/>
                <w:szCs w:val="20"/>
              </w:rPr>
            </w:pPr>
            <w:r w:rsidRPr="00FE06B2">
              <w:rPr>
                <w:rFonts w:asciiTheme="minorHAnsi" w:hAnsiTheme="minorHAnsi"/>
                <w:color w:val="000000" w:themeColor="text1"/>
                <w:sz w:val="20"/>
                <w:szCs w:val="20"/>
              </w:rPr>
              <w:t>Axon R (on the application of) v Secretary of State for Health &amp; Anor [2006] EWHC 37 (Admin) – confidentiality and minors</w:t>
            </w:r>
          </w:p>
          <w:p w14:paraId="1E6DE414" w14:textId="77777777" w:rsidR="00D556C6" w:rsidRPr="00FE06B2" w:rsidRDefault="00D556C6" w:rsidP="00D556C6">
            <w:pPr>
              <w:rPr>
                <w:rFonts w:asciiTheme="minorHAnsi" w:eastAsia="Arial" w:hAnsiTheme="minorHAnsi" w:cs="Arial"/>
                <w:color w:val="000000" w:themeColor="text1"/>
                <w:sz w:val="20"/>
                <w:szCs w:val="20"/>
              </w:rPr>
            </w:pPr>
          </w:p>
          <w:p w14:paraId="65F637EB" w14:textId="77777777" w:rsidR="00D556C6" w:rsidRPr="00FE06B2" w:rsidRDefault="00D556C6" w:rsidP="00D556C6">
            <w:pPr>
              <w:widowControl w:val="0"/>
              <w:shd w:val="clear" w:color="auto" w:fill="FFFFFF" w:themeFill="background1"/>
              <w:autoSpaceDE w:val="0"/>
              <w:autoSpaceDN w:val="0"/>
              <w:adjustRightInd w:val="0"/>
              <w:rPr>
                <w:rFonts w:asciiTheme="minorHAnsi" w:hAnsiTheme="minorHAnsi"/>
                <w:color w:val="000000" w:themeColor="text1"/>
                <w:sz w:val="20"/>
                <w:szCs w:val="20"/>
              </w:rPr>
            </w:pPr>
            <w:r w:rsidRPr="00FE06B2">
              <w:rPr>
                <w:rFonts w:asciiTheme="minorHAnsi" w:hAnsiTheme="minorHAnsi" w:cstheme="majorHAnsi"/>
                <w:color w:val="000000" w:themeColor="text1"/>
                <w:sz w:val="20"/>
                <w:szCs w:val="20"/>
              </w:rPr>
              <w:t xml:space="preserve">Gillick v West Norfolk and Wisbech AHA [1984] QB 581 – </w:t>
            </w:r>
            <w:r w:rsidRPr="00FE06B2">
              <w:rPr>
                <w:rFonts w:asciiTheme="minorHAnsi" w:hAnsiTheme="minorHAnsi"/>
                <w:color w:val="000000" w:themeColor="text1"/>
                <w:sz w:val="20"/>
                <w:szCs w:val="20"/>
              </w:rPr>
              <w:t>confidentiality and minors</w:t>
            </w:r>
          </w:p>
          <w:p w14:paraId="29D40DA0" w14:textId="77777777" w:rsidR="00B475C1" w:rsidRPr="00FE06B2" w:rsidRDefault="00B475C1" w:rsidP="00B475C1">
            <w:pPr>
              <w:widowControl w:val="0"/>
              <w:shd w:val="clear" w:color="auto" w:fill="FFFFFF" w:themeFill="background1"/>
              <w:autoSpaceDE w:val="0"/>
              <w:autoSpaceDN w:val="0"/>
              <w:adjustRightInd w:val="0"/>
              <w:rPr>
                <w:rFonts w:asciiTheme="minorHAnsi" w:hAnsiTheme="minorHAnsi" w:cstheme="majorHAnsi"/>
                <w:color w:val="000000" w:themeColor="text1"/>
                <w:sz w:val="20"/>
                <w:szCs w:val="20"/>
                <w:lang w:val="en-US"/>
              </w:rPr>
            </w:pPr>
          </w:p>
          <w:p w14:paraId="7DF72E86" w14:textId="77777777" w:rsidR="00D556C6" w:rsidRPr="00FE06B2" w:rsidRDefault="00D556C6" w:rsidP="00D556C6">
            <w:pPr>
              <w:widowControl w:val="0"/>
              <w:shd w:val="clear" w:color="auto" w:fill="FFFFFF" w:themeFill="background1"/>
              <w:autoSpaceDE w:val="0"/>
              <w:autoSpaceDN w:val="0"/>
              <w:adjustRightInd w:val="0"/>
              <w:rPr>
                <w:rFonts w:asciiTheme="minorHAnsi" w:hAnsiTheme="minorHAnsi" w:cstheme="majorHAnsi"/>
                <w:color w:val="000000" w:themeColor="text1"/>
                <w:sz w:val="20"/>
                <w:szCs w:val="20"/>
                <w:lang w:val="en-US"/>
              </w:rPr>
            </w:pPr>
            <w:r w:rsidRPr="00FE06B2">
              <w:rPr>
                <w:rFonts w:asciiTheme="minorHAnsi" w:hAnsiTheme="minorHAnsi" w:cstheme="majorHAnsi"/>
                <w:color w:val="000000" w:themeColor="text1"/>
                <w:sz w:val="20"/>
                <w:szCs w:val="20"/>
                <w:lang w:val="en-US"/>
              </w:rPr>
              <w:t>H (a Health worker) v Associated Newspapers Ltd [2002] EWCA civ 195 – public interest in keeping HIV status confidential</w:t>
            </w:r>
          </w:p>
          <w:p w14:paraId="212AF19A" w14:textId="77777777" w:rsidR="00D556C6" w:rsidRDefault="00D556C6" w:rsidP="00B475C1">
            <w:pPr>
              <w:widowControl w:val="0"/>
              <w:shd w:val="clear" w:color="auto" w:fill="FFFFFF" w:themeFill="background1"/>
              <w:autoSpaceDE w:val="0"/>
              <w:autoSpaceDN w:val="0"/>
              <w:adjustRightInd w:val="0"/>
              <w:rPr>
                <w:rFonts w:asciiTheme="minorHAnsi" w:hAnsiTheme="minorHAnsi" w:cstheme="majorHAnsi"/>
                <w:color w:val="000000" w:themeColor="text1"/>
                <w:sz w:val="20"/>
                <w:szCs w:val="20"/>
                <w:lang w:val="en-US"/>
              </w:rPr>
            </w:pPr>
          </w:p>
          <w:p w14:paraId="0783546D" w14:textId="77777777" w:rsidR="00D556C6" w:rsidRPr="00FE06B2" w:rsidRDefault="00D556C6" w:rsidP="00D556C6">
            <w:pPr>
              <w:widowControl w:val="0"/>
              <w:shd w:val="clear" w:color="auto" w:fill="FFFFFF" w:themeFill="background1"/>
              <w:autoSpaceDE w:val="0"/>
              <w:autoSpaceDN w:val="0"/>
              <w:adjustRightInd w:val="0"/>
              <w:rPr>
                <w:rFonts w:asciiTheme="minorHAnsi" w:hAnsiTheme="minorHAnsi" w:cstheme="majorHAnsi"/>
                <w:color w:val="000000" w:themeColor="text1"/>
                <w:sz w:val="20"/>
                <w:szCs w:val="20"/>
              </w:rPr>
            </w:pPr>
            <w:r w:rsidRPr="00FE06B2">
              <w:rPr>
                <w:rFonts w:asciiTheme="minorHAnsi" w:hAnsiTheme="minorHAnsi" w:cstheme="majorHAnsi"/>
                <w:color w:val="000000" w:themeColor="text1"/>
                <w:sz w:val="20"/>
                <w:szCs w:val="20"/>
              </w:rPr>
              <w:t xml:space="preserve">W v </w:t>
            </w:r>
            <w:proofErr w:type="spellStart"/>
            <w:r w:rsidRPr="00FE06B2">
              <w:rPr>
                <w:rFonts w:asciiTheme="minorHAnsi" w:hAnsiTheme="minorHAnsi" w:cstheme="majorHAnsi"/>
                <w:color w:val="000000" w:themeColor="text1"/>
                <w:sz w:val="20"/>
                <w:szCs w:val="20"/>
              </w:rPr>
              <w:t>Eg</w:t>
            </w:r>
            <w:r>
              <w:rPr>
                <w:rFonts w:asciiTheme="minorHAnsi" w:hAnsiTheme="minorHAnsi" w:cstheme="majorHAnsi"/>
                <w:color w:val="000000" w:themeColor="text1"/>
                <w:sz w:val="20"/>
                <w:szCs w:val="20"/>
              </w:rPr>
              <w:t>d</w:t>
            </w:r>
            <w:r w:rsidRPr="00FE06B2">
              <w:rPr>
                <w:rFonts w:asciiTheme="minorHAnsi" w:hAnsiTheme="minorHAnsi" w:cstheme="majorHAnsi"/>
                <w:color w:val="000000" w:themeColor="text1"/>
                <w:sz w:val="20"/>
                <w:szCs w:val="20"/>
              </w:rPr>
              <w:t>ell</w:t>
            </w:r>
            <w:proofErr w:type="spellEnd"/>
            <w:r w:rsidRPr="00FE06B2">
              <w:rPr>
                <w:rFonts w:asciiTheme="minorHAnsi" w:hAnsiTheme="minorHAnsi" w:cstheme="majorHAnsi"/>
                <w:color w:val="000000" w:themeColor="text1"/>
                <w:sz w:val="20"/>
                <w:szCs w:val="20"/>
              </w:rPr>
              <w:t xml:space="preserve"> [1990] </w:t>
            </w:r>
            <w:proofErr w:type="spellStart"/>
            <w:r w:rsidRPr="00FE06B2">
              <w:rPr>
                <w:rFonts w:asciiTheme="minorHAnsi" w:hAnsiTheme="minorHAnsi" w:cstheme="majorHAnsi"/>
                <w:color w:val="000000" w:themeColor="text1"/>
                <w:sz w:val="20"/>
                <w:szCs w:val="20"/>
              </w:rPr>
              <w:t>Ch</w:t>
            </w:r>
            <w:proofErr w:type="spellEnd"/>
            <w:r w:rsidRPr="00FE06B2">
              <w:rPr>
                <w:rFonts w:asciiTheme="minorHAnsi" w:hAnsiTheme="minorHAnsi" w:cstheme="majorHAnsi"/>
                <w:color w:val="000000" w:themeColor="text1"/>
                <w:sz w:val="20"/>
                <w:szCs w:val="20"/>
              </w:rPr>
              <w:t xml:space="preserve"> 359 – public interest and protection of the public</w:t>
            </w:r>
          </w:p>
          <w:p w14:paraId="49D991AC" w14:textId="77777777" w:rsidR="00D556C6" w:rsidRDefault="00D556C6" w:rsidP="00B475C1">
            <w:pPr>
              <w:widowControl w:val="0"/>
              <w:shd w:val="clear" w:color="auto" w:fill="FFFFFF" w:themeFill="background1"/>
              <w:autoSpaceDE w:val="0"/>
              <w:autoSpaceDN w:val="0"/>
              <w:adjustRightInd w:val="0"/>
              <w:rPr>
                <w:rFonts w:asciiTheme="minorHAnsi" w:hAnsiTheme="minorHAnsi" w:cstheme="majorHAnsi"/>
                <w:color w:val="000000" w:themeColor="text1"/>
                <w:sz w:val="20"/>
                <w:szCs w:val="20"/>
                <w:lang w:val="en-US"/>
              </w:rPr>
            </w:pPr>
          </w:p>
          <w:p w14:paraId="471B7E21" w14:textId="544A84E8" w:rsidR="00B475C1" w:rsidRPr="00FE06B2" w:rsidRDefault="00B475C1" w:rsidP="00B475C1">
            <w:pPr>
              <w:widowControl w:val="0"/>
              <w:shd w:val="clear" w:color="auto" w:fill="FFFFFF" w:themeFill="background1"/>
              <w:autoSpaceDE w:val="0"/>
              <w:autoSpaceDN w:val="0"/>
              <w:adjustRightInd w:val="0"/>
              <w:rPr>
                <w:rFonts w:asciiTheme="minorHAnsi" w:hAnsiTheme="minorHAnsi" w:cstheme="majorHAnsi"/>
                <w:color w:val="000000" w:themeColor="text1"/>
                <w:sz w:val="20"/>
                <w:szCs w:val="20"/>
                <w:lang w:val="en-US"/>
              </w:rPr>
            </w:pPr>
            <w:r w:rsidRPr="00FE06B2">
              <w:rPr>
                <w:rFonts w:asciiTheme="minorHAnsi" w:hAnsiTheme="minorHAnsi" w:cstheme="majorHAnsi"/>
                <w:color w:val="000000" w:themeColor="text1"/>
                <w:sz w:val="20"/>
                <w:szCs w:val="20"/>
                <w:lang w:val="en-US"/>
              </w:rPr>
              <w:t>X v Y [1988] 2 ALL ER 648 – disclosure of doctors with AIDS - public interest v freedom of press</w:t>
            </w:r>
          </w:p>
          <w:p w14:paraId="04C28B03" w14:textId="77777777" w:rsidR="00B475C1" w:rsidRPr="00FE06B2" w:rsidRDefault="00B475C1" w:rsidP="00B475C1">
            <w:pPr>
              <w:widowControl w:val="0"/>
              <w:shd w:val="clear" w:color="auto" w:fill="FFFFFF" w:themeFill="background1"/>
              <w:autoSpaceDE w:val="0"/>
              <w:autoSpaceDN w:val="0"/>
              <w:adjustRightInd w:val="0"/>
              <w:rPr>
                <w:rFonts w:asciiTheme="minorHAnsi" w:hAnsiTheme="minorHAnsi" w:cstheme="majorHAnsi"/>
                <w:color w:val="000000" w:themeColor="text1"/>
                <w:sz w:val="20"/>
                <w:szCs w:val="20"/>
                <w:lang w:val="en-US"/>
              </w:rPr>
            </w:pPr>
          </w:p>
          <w:p w14:paraId="0C5620EF" w14:textId="77777777" w:rsidR="00B475C1" w:rsidRDefault="00B475C1" w:rsidP="00D556C6">
            <w:pPr>
              <w:rPr>
                <w:rFonts w:asciiTheme="minorHAnsi" w:hAnsiTheme="minorHAnsi"/>
                <w:color w:val="000000" w:themeColor="text1"/>
                <w:sz w:val="20"/>
                <w:szCs w:val="20"/>
              </w:rPr>
            </w:pPr>
          </w:p>
        </w:tc>
      </w:tr>
    </w:tbl>
    <w:p w14:paraId="11B664D7" w14:textId="77777777" w:rsidR="00670E4A" w:rsidRPr="00FE06B2" w:rsidRDefault="00670E4A" w:rsidP="00670E4A">
      <w:pPr>
        <w:rPr>
          <w:rFonts w:asciiTheme="minorHAnsi" w:eastAsia="Arial" w:hAnsiTheme="minorHAnsi" w:cs="Arial"/>
          <w:color w:val="000000" w:themeColor="text1"/>
          <w:sz w:val="20"/>
          <w:szCs w:val="20"/>
        </w:rPr>
      </w:pPr>
    </w:p>
    <w:p w14:paraId="5A4C9418" w14:textId="77777777" w:rsidR="00670E4A" w:rsidRPr="00FE06B2" w:rsidRDefault="00670E4A" w:rsidP="00670E4A">
      <w:pPr>
        <w:rPr>
          <w:rFonts w:asciiTheme="minorHAnsi" w:eastAsia="Arial" w:hAnsiTheme="minorHAnsi" w:cs="Arial"/>
          <w:color w:val="000000" w:themeColor="text1"/>
          <w:sz w:val="20"/>
          <w:szCs w:val="20"/>
        </w:rPr>
      </w:pPr>
    </w:p>
    <w:p w14:paraId="46DA38E1" w14:textId="77777777" w:rsidR="00670E4A" w:rsidRPr="00FE06B2" w:rsidRDefault="00670E4A" w:rsidP="00670E4A">
      <w:pPr>
        <w:rPr>
          <w:rFonts w:asciiTheme="minorHAnsi" w:eastAsia="Arial" w:hAnsiTheme="minorHAnsi" w:cs="Arial"/>
          <w:color w:val="000000" w:themeColor="text1"/>
          <w:sz w:val="20"/>
          <w:szCs w:val="20"/>
        </w:rPr>
      </w:pPr>
    </w:p>
    <w:p w14:paraId="3CC4F99D" w14:textId="77777777" w:rsidR="00670E4A" w:rsidRPr="00FE06B2" w:rsidRDefault="00670E4A" w:rsidP="00670E4A">
      <w:pPr>
        <w:rPr>
          <w:rFonts w:asciiTheme="minorHAnsi" w:hAnsiTheme="minorHAnsi"/>
          <w:color w:val="000000" w:themeColor="text1"/>
          <w:sz w:val="20"/>
          <w:szCs w:val="20"/>
        </w:rPr>
      </w:pPr>
    </w:p>
    <w:p w14:paraId="6BA8C8C2" w14:textId="77777777" w:rsidR="00670E4A" w:rsidRPr="00FE06B2" w:rsidRDefault="00670E4A" w:rsidP="00670E4A">
      <w:pPr>
        <w:rPr>
          <w:rFonts w:asciiTheme="minorHAnsi" w:hAnsiTheme="minorHAnsi"/>
          <w:color w:val="000000" w:themeColor="text1"/>
          <w:sz w:val="20"/>
          <w:szCs w:val="20"/>
        </w:rPr>
      </w:pPr>
    </w:p>
    <w:p w14:paraId="452ABAAE" w14:textId="77777777" w:rsidR="00670E4A" w:rsidRPr="00FE06B2" w:rsidRDefault="00670E4A" w:rsidP="00670E4A">
      <w:pPr>
        <w:rPr>
          <w:rFonts w:asciiTheme="minorHAnsi" w:hAnsiTheme="minorHAnsi"/>
          <w:color w:val="000000" w:themeColor="text1"/>
          <w:sz w:val="20"/>
          <w:szCs w:val="20"/>
        </w:rPr>
      </w:pPr>
    </w:p>
    <w:p w14:paraId="134876F6" w14:textId="77777777" w:rsidR="00670E4A" w:rsidRPr="00FE06B2" w:rsidRDefault="00670E4A" w:rsidP="00670E4A">
      <w:pPr>
        <w:rPr>
          <w:rFonts w:asciiTheme="minorHAnsi" w:hAnsiTheme="minorHAnsi"/>
          <w:color w:val="000000" w:themeColor="text1"/>
          <w:sz w:val="20"/>
          <w:szCs w:val="20"/>
        </w:rPr>
      </w:pPr>
    </w:p>
    <w:p w14:paraId="5E08755C" w14:textId="77777777" w:rsidR="00670E4A" w:rsidRPr="00FE06B2" w:rsidRDefault="00670E4A" w:rsidP="00670E4A">
      <w:pPr>
        <w:rPr>
          <w:rFonts w:asciiTheme="minorHAnsi" w:hAnsiTheme="minorHAnsi"/>
          <w:color w:val="000000" w:themeColor="text1"/>
          <w:sz w:val="20"/>
          <w:szCs w:val="20"/>
        </w:rPr>
      </w:pPr>
    </w:p>
    <w:p w14:paraId="058B3AE5" w14:textId="77777777" w:rsidR="00670E4A" w:rsidRPr="00FE06B2" w:rsidRDefault="00670E4A" w:rsidP="00670E4A">
      <w:pPr>
        <w:rPr>
          <w:rFonts w:asciiTheme="minorHAnsi" w:hAnsiTheme="minorHAnsi"/>
          <w:color w:val="000000" w:themeColor="text1"/>
          <w:sz w:val="20"/>
          <w:szCs w:val="20"/>
        </w:rPr>
      </w:pPr>
    </w:p>
    <w:p w14:paraId="495F08F4" w14:textId="77777777" w:rsidR="00670E4A" w:rsidRPr="00FE06B2" w:rsidRDefault="00670E4A" w:rsidP="00670E4A">
      <w:pPr>
        <w:rPr>
          <w:rFonts w:asciiTheme="minorHAnsi" w:hAnsiTheme="minorHAnsi"/>
          <w:color w:val="000000" w:themeColor="text1"/>
          <w:sz w:val="20"/>
          <w:szCs w:val="20"/>
        </w:rPr>
      </w:pPr>
    </w:p>
    <w:p w14:paraId="5DE76775" w14:textId="77777777" w:rsidR="00670E4A" w:rsidRPr="00FE06B2" w:rsidRDefault="00670E4A" w:rsidP="00670E4A">
      <w:pPr>
        <w:rPr>
          <w:rFonts w:asciiTheme="minorHAnsi" w:hAnsiTheme="minorHAnsi"/>
          <w:color w:val="000000" w:themeColor="text1"/>
          <w:sz w:val="20"/>
          <w:szCs w:val="20"/>
        </w:rPr>
      </w:pPr>
    </w:p>
    <w:p w14:paraId="1178E626" w14:textId="77777777" w:rsidR="00670E4A" w:rsidRPr="00FE06B2" w:rsidRDefault="00670E4A" w:rsidP="00670E4A">
      <w:pPr>
        <w:rPr>
          <w:rFonts w:asciiTheme="minorHAnsi" w:hAnsiTheme="minorHAnsi"/>
          <w:color w:val="000000" w:themeColor="text1"/>
          <w:sz w:val="20"/>
          <w:szCs w:val="20"/>
        </w:rPr>
      </w:pPr>
    </w:p>
    <w:p w14:paraId="6621EFD5" w14:textId="77777777" w:rsidR="00670E4A" w:rsidRPr="00FE06B2" w:rsidRDefault="00670E4A" w:rsidP="00670E4A">
      <w:pPr>
        <w:rPr>
          <w:rFonts w:asciiTheme="minorHAnsi" w:hAnsiTheme="minorHAnsi"/>
          <w:color w:val="000000" w:themeColor="text1"/>
          <w:sz w:val="20"/>
          <w:szCs w:val="20"/>
        </w:rPr>
      </w:pPr>
    </w:p>
    <w:p w14:paraId="3EFAA8C7" w14:textId="77777777" w:rsidR="00670E4A" w:rsidRPr="00FE06B2" w:rsidRDefault="00670E4A" w:rsidP="00670E4A">
      <w:pPr>
        <w:rPr>
          <w:rFonts w:asciiTheme="minorHAnsi" w:hAnsiTheme="minorHAnsi"/>
          <w:color w:val="000000" w:themeColor="text1"/>
          <w:sz w:val="20"/>
          <w:szCs w:val="20"/>
        </w:rPr>
      </w:pPr>
    </w:p>
    <w:p w14:paraId="0D0A288A" w14:textId="77777777" w:rsidR="00B475C1" w:rsidRDefault="00B475C1">
      <w:pPr>
        <w:rPr>
          <w:rFonts w:asciiTheme="minorHAnsi" w:hAnsiTheme="minorHAnsi" w:cstheme="minorHAnsi"/>
          <w:b/>
        </w:rPr>
      </w:pPr>
      <w:r>
        <w:rPr>
          <w:rFonts w:asciiTheme="minorHAnsi" w:hAnsiTheme="minorHAnsi" w:cstheme="minorHAnsi"/>
          <w:b/>
        </w:rPr>
        <w:br w:type="page"/>
      </w:r>
    </w:p>
    <w:p w14:paraId="3EC16968" w14:textId="4ADCA09B" w:rsidR="002D3AEA" w:rsidRPr="004370D7" w:rsidRDefault="006E39F4" w:rsidP="004370D7">
      <w:pPr>
        <w:pStyle w:val="NormalWeb"/>
        <w:jc w:val="center"/>
        <w:rPr>
          <w:rFonts w:asciiTheme="minorHAnsi" w:hAnsiTheme="minorHAnsi" w:cstheme="minorHAnsi"/>
          <w:b/>
        </w:rPr>
      </w:pPr>
      <w:r>
        <w:rPr>
          <w:rFonts w:asciiTheme="minorHAnsi" w:hAnsiTheme="minorHAnsi" w:cstheme="minorHAnsi"/>
          <w:b/>
        </w:rPr>
        <w:t>JUSTICE AND PUBLIC HEALTH</w:t>
      </w:r>
    </w:p>
    <w:p w14:paraId="515B842D" w14:textId="4DDF5AD7" w:rsidR="00E3205C" w:rsidRDefault="002D3AEA" w:rsidP="00313B8B">
      <w:pPr>
        <w:pStyle w:val="NormalWeb"/>
        <w:jc w:val="both"/>
        <w:rPr>
          <w:rFonts w:asciiTheme="minorHAnsi" w:hAnsiTheme="minorHAnsi" w:cstheme="minorHAnsi"/>
          <w:sz w:val="20"/>
          <w:szCs w:val="20"/>
        </w:rPr>
      </w:pPr>
      <w:r w:rsidRPr="00FE06B2">
        <w:rPr>
          <w:rFonts w:asciiTheme="minorHAnsi" w:hAnsiTheme="minorHAnsi" w:cstheme="minorHAnsi"/>
          <w:sz w:val="20"/>
          <w:szCs w:val="20"/>
        </w:rPr>
        <w:t xml:space="preserve">Justice and public health is a broad </w:t>
      </w:r>
      <w:r w:rsidR="00500575">
        <w:rPr>
          <w:rFonts w:asciiTheme="minorHAnsi" w:hAnsiTheme="minorHAnsi" w:cstheme="minorHAnsi"/>
          <w:sz w:val="20"/>
          <w:szCs w:val="20"/>
        </w:rPr>
        <w:t>and</w:t>
      </w:r>
      <w:r w:rsidRPr="00FE06B2">
        <w:rPr>
          <w:rFonts w:asciiTheme="minorHAnsi" w:hAnsiTheme="minorHAnsi" w:cstheme="minorHAnsi"/>
          <w:sz w:val="20"/>
          <w:szCs w:val="20"/>
        </w:rPr>
        <w:t xml:space="preserve"> complex area.</w:t>
      </w:r>
      <w:r w:rsidR="00B55A7A">
        <w:rPr>
          <w:rFonts w:asciiTheme="minorHAnsi" w:hAnsiTheme="minorHAnsi" w:cstheme="minorHAnsi"/>
          <w:sz w:val="20"/>
          <w:szCs w:val="20"/>
        </w:rPr>
        <w:t xml:space="preserve"> </w:t>
      </w:r>
      <w:r w:rsidRPr="00FE06B2">
        <w:rPr>
          <w:rFonts w:asciiTheme="minorHAnsi" w:hAnsiTheme="minorHAnsi" w:cstheme="minorHAnsi"/>
          <w:sz w:val="20"/>
          <w:szCs w:val="20"/>
        </w:rPr>
        <w:t xml:space="preserve"> It includes discussions about finite and fair distribution of resources</w:t>
      </w:r>
      <w:r w:rsidR="00E3205C">
        <w:rPr>
          <w:rFonts w:asciiTheme="minorHAnsi" w:hAnsiTheme="minorHAnsi" w:cstheme="minorHAnsi"/>
          <w:sz w:val="20"/>
          <w:szCs w:val="20"/>
        </w:rPr>
        <w:t>, including</w:t>
      </w:r>
      <w:r w:rsidRPr="00FE06B2">
        <w:rPr>
          <w:rFonts w:asciiTheme="minorHAnsi" w:hAnsiTheme="minorHAnsi" w:cstheme="minorHAnsi"/>
          <w:sz w:val="20"/>
          <w:szCs w:val="20"/>
        </w:rPr>
        <w:t xml:space="preserve"> consideration that resources are provided and used in a sustainable manner. Discussions can include how ethical theories and frameworks may help with complex decision</w:t>
      </w:r>
      <w:r w:rsidR="004370D7">
        <w:rPr>
          <w:rFonts w:asciiTheme="minorHAnsi" w:hAnsiTheme="minorHAnsi" w:cstheme="minorHAnsi"/>
          <w:sz w:val="20"/>
          <w:szCs w:val="20"/>
        </w:rPr>
        <w:t>-</w:t>
      </w:r>
      <w:r w:rsidRPr="00FE06B2">
        <w:rPr>
          <w:rFonts w:asciiTheme="minorHAnsi" w:hAnsiTheme="minorHAnsi" w:cstheme="minorHAnsi"/>
          <w:sz w:val="20"/>
          <w:szCs w:val="20"/>
        </w:rPr>
        <w:t xml:space="preserve">making when it comes to </w:t>
      </w:r>
      <w:r w:rsidR="00E3205C">
        <w:rPr>
          <w:rFonts w:asciiTheme="minorHAnsi" w:hAnsiTheme="minorHAnsi" w:cstheme="minorHAnsi"/>
          <w:sz w:val="20"/>
          <w:szCs w:val="20"/>
        </w:rPr>
        <w:t xml:space="preserve">fair and </w:t>
      </w:r>
      <w:r w:rsidRPr="00FE06B2">
        <w:rPr>
          <w:rFonts w:asciiTheme="minorHAnsi" w:hAnsiTheme="minorHAnsi" w:cstheme="minorHAnsi"/>
          <w:sz w:val="20"/>
          <w:szCs w:val="20"/>
        </w:rPr>
        <w:t>sustainable resource allocation.</w:t>
      </w:r>
      <w:r w:rsidR="00E3205C">
        <w:rPr>
          <w:rFonts w:asciiTheme="minorHAnsi" w:hAnsiTheme="minorHAnsi" w:cstheme="minorHAnsi"/>
          <w:sz w:val="20"/>
          <w:szCs w:val="20"/>
        </w:rPr>
        <w:t xml:space="preserve">  </w:t>
      </w:r>
    </w:p>
    <w:p w14:paraId="35F80A22" w14:textId="77777777" w:rsidR="00E3205C" w:rsidRPr="00FE06B2" w:rsidRDefault="00E3205C" w:rsidP="00313B8B">
      <w:pPr>
        <w:pStyle w:val="NormalWeb"/>
        <w:jc w:val="both"/>
        <w:rPr>
          <w:rFonts w:asciiTheme="minorHAnsi" w:hAnsiTheme="minorHAnsi" w:cstheme="minorHAnsi"/>
          <w:sz w:val="20"/>
          <w:szCs w:val="20"/>
        </w:rPr>
      </w:pPr>
      <w:r w:rsidRPr="00FE06B2">
        <w:rPr>
          <w:rFonts w:asciiTheme="minorHAnsi" w:hAnsiTheme="minorHAnsi" w:cstheme="minorHAnsi"/>
          <w:sz w:val="20"/>
          <w:szCs w:val="20"/>
        </w:rPr>
        <w:t>This is also an area to bring in the complex tensions between an individual patient’s best interests and justice</w:t>
      </w:r>
      <w:r>
        <w:rPr>
          <w:rFonts w:asciiTheme="minorHAnsi" w:hAnsiTheme="minorHAnsi" w:cstheme="minorHAnsi"/>
          <w:sz w:val="20"/>
          <w:szCs w:val="20"/>
        </w:rPr>
        <w:t xml:space="preserve"> at the population/global level</w:t>
      </w:r>
      <w:r w:rsidRPr="00FE06B2">
        <w:rPr>
          <w:rFonts w:asciiTheme="minorHAnsi" w:hAnsiTheme="minorHAnsi" w:cstheme="minorHAnsi"/>
          <w:sz w:val="20"/>
          <w:szCs w:val="20"/>
        </w:rPr>
        <w:t xml:space="preserve">.  You can use topical issues such as the recent COVID19 pandemic or media articles focusing on funding decisions in the UK or NICE guidance to promote discussions.  </w:t>
      </w:r>
    </w:p>
    <w:p w14:paraId="4FC98034" w14:textId="07A997DE" w:rsidR="002D3AEA" w:rsidRPr="00FE06B2" w:rsidRDefault="00E3205C" w:rsidP="00313B8B">
      <w:pPr>
        <w:pStyle w:val="NormalWeb"/>
        <w:jc w:val="both"/>
        <w:rPr>
          <w:rFonts w:asciiTheme="minorHAnsi" w:hAnsiTheme="minorHAnsi" w:cstheme="minorHAnsi"/>
          <w:sz w:val="20"/>
          <w:szCs w:val="20"/>
        </w:rPr>
      </w:pPr>
      <w:r>
        <w:rPr>
          <w:rFonts w:asciiTheme="minorHAnsi" w:hAnsiTheme="minorHAnsi" w:cstheme="minorHAnsi"/>
          <w:sz w:val="20"/>
          <w:szCs w:val="20"/>
        </w:rPr>
        <w:t>Justice also involves thinking about how, and to what extent, statute and case-law are applied and whether these deliver ‘fair’ outcomes.</w:t>
      </w:r>
      <w:r w:rsidR="002D3AEA" w:rsidRPr="00FE06B2">
        <w:rPr>
          <w:rFonts w:asciiTheme="minorHAnsi" w:hAnsiTheme="minorHAnsi" w:cstheme="minorHAnsi"/>
          <w:sz w:val="20"/>
          <w:szCs w:val="20"/>
        </w:rPr>
        <w:t xml:space="preserve"> </w:t>
      </w:r>
    </w:p>
    <w:p w14:paraId="2CBA3E71" w14:textId="77777777" w:rsidR="00B475C1" w:rsidRDefault="00B475C1" w:rsidP="003E4A53">
      <w:pPr>
        <w:pStyle w:val="NormalWeb"/>
        <w:jc w:val="center"/>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9016"/>
      </w:tblGrid>
      <w:tr w:rsidR="00B475C1" w14:paraId="04E40086" w14:textId="77777777" w:rsidTr="00B475C1">
        <w:tc>
          <w:tcPr>
            <w:tcW w:w="9016" w:type="dxa"/>
          </w:tcPr>
          <w:p w14:paraId="471828DA" w14:textId="396949B1" w:rsidR="00B475C1" w:rsidRDefault="00B475C1" w:rsidP="003E4A53">
            <w:pPr>
              <w:pStyle w:val="NormalWeb"/>
              <w:jc w:val="center"/>
              <w:rPr>
                <w:rFonts w:asciiTheme="minorHAnsi" w:hAnsiTheme="minorHAnsi" w:cstheme="minorHAnsi"/>
                <w:b/>
                <w:sz w:val="20"/>
                <w:szCs w:val="20"/>
              </w:rPr>
            </w:pPr>
            <w:r>
              <w:rPr>
                <w:rFonts w:asciiTheme="minorHAnsi" w:hAnsiTheme="minorHAnsi" w:cstheme="minorHAnsi"/>
                <w:b/>
                <w:sz w:val="20"/>
                <w:szCs w:val="20"/>
              </w:rPr>
              <w:t>Useful Resources</w:t>
            </w:r>
          </w:p>
        </w:tc>
      </w:tr>
      <w:tr w:rsidR="00B475C1" w14:paraId="014A5A34" w14:textId="77777777" w:rsidTr="00B475C1">
        <w:tc>
          <w:tcPr>
            <w:tcW w:w="9016" w:type="dxa"/>
          </w:tcPr>
          <w:p w14:paraId="5A60EFFD" w14:textId="3AB641B6" w:rsidR="00B475C1" w:rsidRPr="009377F0" w:rsidRDefault="00B475C1" w:rsidP="00B475C1">
            <w:pPr>
              <w:shd w:val="clear" w:color="auto" w:fill="FFFFFF"/>
              <w:rPr>
                <w:rFonts w:asciiTheme="minorHAnsi" w:hAnsiTheme="minorHAnsi" w:cstheme="minorHAnsi"/>
                <w:color w:val="333333"/>
                <w:sz w:val="20"/>
                <w:szCs w:val="20"/>
                <w:lang w:eastAsia="en-US"/>
              </w:rPr>
            </w:pPr>
            <w:r w:rsidRPr="009377F0">
              <w:rPr>
                <w:rFonts w:asciiTheme="minorHAnsi" w:hAnsiTheme="minorHAnsi" w:cstheme="minorHAnsi"/>
                <w:color w:val="333333"/>
                <w:sz w:val="20"/>
                <w:szCs w:val="20"/>
              </w:rPr>
              <w:t>Cookson, R</w:t>
            </w:r>
            <w:r w:rsidR="00D556C6">
              <w:rPr>
                <w:rFonts w:asciiTheme="minorHAnsi" w:hAnsiTheme="minorHAnsi" w:cstheme="minorHAnsi"/>
                <w:color w:val="333333"/>
                <w:sz w:val="20"/>
                <w:szCs w:val="20"/>
              </w:rPr>
              <w:t>.</w:t>
            </w:r>
            <w:r w:rsidRPr="009377F0">
              <w:rPr>
                <w:rFonts w:asciiTheme="minorHAnsi" w:hAnsiTheme="minorHAnsi" w:cstheme="minorHAnsi"/>
                <w:color w:val="333333"/>
                <w:sz w:val="20"/>
                <w:szCs w:val="20"/>
              </w:rPr>
              <w:t xml:space="preserve"> and Dolan, P.  Principles of justice in health care rationing.  JME Volume 26 Issue 5 </w:t>
            </w:r>
            <w:hyperlink r:id="rId34" w:history="1">
              <w:r w:rsidRPr="009377F0">
                <w:rPr>
                  <w:rStyle w:val="Hyperlink"/>
                  <w:rFonts w:asciiTheme="minorHAnsi" w:eastAsiaTheme="majorEastAsia" w:hAnsiTheme="minorHAnsi" w:cstheme="minorHAnsi"/>
                  <w:color w:val="2A6EBB"/>
                  <w:sz w:val="20"/>
                  <w:szCs w:val="20"/>
                </w:rPr>
                <w:t>View Full Text</w:t>
              </w:r>
            </w:hyperlink>
            <w:r w:rsidRPr="009377F0">
              <w:rPr>
                <w:rFonts w:asciiTheme="minorHAnsi" w:hAnsiTheme="minorHAnsi" w:cstheme="minorHAnsi"/>
                <w:color w:val="333333"/>
                <w:sz w:val="20"/>
                <w:szCs w:val="20"/>
              </w:rPr>
              <w:t xml:space="preserve"> </w:t>
            </w:r>
            <w:hyperlink r:id="rId35" w:history="1">
              <w:r w:rsidRPr="009377F0">
                <w:rPr>
                  <w:rStyle w:val="Hyperlink"/>
                  <w:rFonts w:asciiTheme="minorHAnsi" w:eastAsiaTheme="majorEastAsia" w:hAnsiTheme="minorHAnsi" w:cstheme="minorHAnsi"/>
                  <w:sz w:val="20"/>
                  <w:szCs w:val="20"/>
                </w:rPr>
                <w:t>http://dx.doi.org/10.1136/jme.26.5.323</w:t>
              </w:r>
            </w:hyperlink>
          </w:p>
          <w:p w14:paraId="53E3B611" w14:textId="77777777" w:rsidR="00B475C1" w:rsidRPr="00C1306D" w:rsidRDefault="00B475C1" w:rsidP="00B475C1">
            <w:pPr>
              <w:pStyle w:val="NormalWeb"/>
              <w:jc w:val="both"/>
              <w:rPr>
                <w:rFonts w:asciiTheme="minorHAnsi" w:hAnsiTheme="minorHAnsi" w:cstheme="minorHAnsi"/>
                <w:bCs/>
                <w:sz w:val="20"/>
                <w:szCs w:val="20"/>
              </w:rPr>
            </w:pPr>
            <w:r w:rsidRPr="00001E63">
              <w:rPr>
                <w:rFonts w:asciiTheme="minorHAnsi" w:hAnsiTheme="minorHAnsi" w:cstheme="minorHAnsi"/>
                <w:bCs/>
                <w:sz w:val="20"/>
                <w:szCs w:val="20"/>
              </w:rPr>
              <w:t>Dawson, A. ed. (2011).  Public Health Ethics.  Key Concepts and Issues in Policy and Practice.  Cambridge University Press.</w:t>
            </w:r>
          </w:p>
          <w:p w14:paraId="61CC9F5D" w14:textId="77777777" w:rsidR="00B475C1" w:rsidRPr="00C1306D" w:rsidRDefault="00B475C1" w:rsidP="00B475C1">
            <w:pPr>
              <w:shd w:val="clear" w:color="auto" w:fill="FFFFFF"/>
              <w:rPr>
                <w:rFonts w:asciiTheme="minorHAnsi" w:hAnsiTheme="minorHAnsi" w:cstheme="minorHAnsi"/>
                <w:color w:val="333333"/>
                <w:sz w:val="20"/>
                <w:szCs w:val="20"/>
                <w:shd w:val="clear" w:color="auto" w:fill="FFFFFF"/>
              </w:rPr>
            </w:pPr>
            <w:r w:rsidRPr="00C1306D">
              <w:rPr>
                <w:rFonts w:asciiTheme="minorHAnsi" w:hAnsiTheme="minorHAnsi"/>
                <w:color w:val="333333"/>
                <w:sz w:val="20"/>
                <w:szCs w:val="20"/>
              </w:rPr>
              <w:t xml:space="preserve">Dawson, A.  (2014) Ebola: what it tells us about medical ethics.  Journal of Medical Ethics. </w:t>
            </w:r>
            <w:hyperlink r:id="rId36" w:tgtFrame="_new" w:history="1">
              <w:r w:rsidRPr="00C1306D">
                <w:rPr>
                  <w:rStyle w:val="Hyperlink"/>
                  <w:rFonts w:asciiTheme="minorHAnsi" w:eastAsiaTheme="majorEastAsia" w:hAnsiTheme="minorHAnsi"/>
                  <w:color w:val="2A6EBB"/>
                  <w:sz w:val="20"/>
                  <w:szCs w:val="20"/>
                  <w:shd w:val="clear" w:color="auto" w:fill="FFFFFF"/>
                </w:rPr>
                <w:t>http://dx.doi.org/10.1136/medethics-2014-102304</w:t>
              </w:r>
            </w:hyperlink>
          </w:p>
          <w:p w14:paraId="5C5C58C3" w14:textId="7D03AEDE" w:rsidR="00B475C1" w:rsidRDefault="00B475C1" w:rsidP="00B475C1">
            <w:pPr>
              <w:pStyle w:val="NormalWeb"/>
              <w:jc w:val="both"/>
              <w:rPr>
                <w:rFonts w:asciiTheme="minorHAnsi" w:hAnsiTheme="minorHAnsi" w:cstheme="minorHAnsi"/>
                <w:color w:val="333333"/>
                <w:sz w:val="20"/>
                <w:szCs w:val="20"/>
                <w:shd w:val="clear" w:color="auto" w:fill="FFFFFF"/>
              </w:rPr>
            </w:pPr>
            <w:proofErr w:type="spellStart"/>
            <w:r w:rsidRPr="009377F0">
              <w:rPr>
                <w:rFonts w:asciiTheme="minorHAnsi" w:hAnsiTheme="minorHAnsi" w:cstheme="minorHAnsi"/>
                <w:color w:val="333333"/>
                <w:sz w:val="20"/>
                <w:szCs w:val="20"/>
                <w:shd w:val="clear" w:color="auto" w:fill="FFFFFF"/>
              </w:rPr>
              <w:t>Hadorn</w:t>
            </w:r>
            <w:proofErr w:type="spellEnd"/>
            <w:r w:rsidR="00D556C6">
              <w:rPr>
                <w:rFonts w:asciiTheme="minorHAnsi" w:hAnsiTheme="minorHAnsi" w:cstheme="minorHAnsi"/>
                <w:color w:val="333333"/>
                <w:sz w:val="20"/>
                <w:szCs w:val="20"/>
                <w:shd w:val="clear" w:color="auto" w:fill="FFFFFF"/>
              </w:rPr>
              <w:t>,</w:t>
            </w:r>
            <w:r w:rsidRPr="009377F0">
              <w:rPr>
                <w:rFonts w:asciiTheme="minorHAnsi" w:hAnsiTheme="minorHAnsi" w:cstheme="minorHAnsi"/>
                <w:color w:val="333333"/>
                <w:sz w:val="20"/>
                <w:szCs w:val="20"/>
                <w:shd w:val="clear" w:color="auto" w:fill="FFFFFF"/>
              </w:rPr>
              <w:t xml:space="preserve"> D. Setting health care priorities in Oregon: cost-effectiveness meets the rule of rescue. </w:t>
            </w:r>
            <w:r w:rsidRPr="009377F0">
              <w:rPr>
                <w:rStyle w:val="cit-source"/>
                <w:rFonts w:asciiTheme="minorHAnsi" w:eastAsiaTheme="majorEastAsia" w:hAnsiTheme="minorHAnsi" w:cstheme="minorHAnsi"/>
                <w:i/>
                <w:iCs/>
                <w:color w:val="333333"/>
                <w:sz w:val="20"/>
                <w:szCs w:val="20"/>
                <w:shd w:val="clear" w:color="auto" w:fill="FFFFFF"/>
              </w:rPr>
              <w:t>Journal of the American Medical Association</w:t>
            </w:r>
            <w:r w:rsidRPr="009377F0">
              <w:rPr>
                <w:rFonts w:asciiTheme="minorHAnsi" w:hAnsiTheme="minorHAnsi" w:cstheme="minorHAnsi"/>
                <w:color w:val="333333"/>
                <w:sz w:val="20"/>
                <w:szCs w:val="20"/>
                <w:shd w:val="clear" w:color="auto" w:fill="FFFFFF"/>
              </w:rPr>
              <w:t> </w:t>
            </w:r>
            <w:r w:rsidRPr="009377F0">
              <w:rPr>
                <w:rStyle w:val="cit-pub-date"/>
                <w:rFonts w:asciiTheme="minorHAnsi" w:hAnsiTheme="minorHAnsi" w:cstheme="minorHAnsi"/>
                <w:color w:val="333333"/>
                <w:sz w:val="20"/>
                <w:szCs w:val="20"/>
                <w:shd w:val="clear" w:color="auto" w:fill="FFFFFF"/>
              </w:rPr>
              <w:t>1991</w:t>
            </w:r>
            <w:proofErr w:type="gramStart"/>
            <w:r w:rsidRPr="009377F0">
              <w:rPr>
                <w:rFonts w:asciiTheme="minorHAnsi" w:hAnsiTheme="minorHAnsi" w:cstheme="minorHAnsi"/>
                <w:color w:val="333333"/>
                <w:sz w:val="20"/>
                <w:szCs w:val="20"/>
                <w:shd w:val="clear" w:color="auto" w:fill="FFFFFF"/>
              </w:rPr>
              <w:t>;</w:t>
            </w:r>
            <w:r w:rsidRPr="009377F0">
              <w:rPr>
                <w:rStyle w:val="cit-vol"/>
                <w:rFonts w:asciiTheme="minorHAnsi" w:hAnsiTheme="minorHAnsi" w:cstheme="minorHAnsi"/>
                <w:b/>
                <w:bCs/>
                <w:color w:val="333333"/>
                <w:sz w:val="20"/>
                <w:szCs w:val="20"/>
                <w:shd w:val="clear" w:color="auto" w:fill="FFFFFF"/>
              </w:rPr>
              <w:t>265</w:t>
            </w:r>
            <w:r w:rsidRPr="009377F0">
              <w:rPr>
                <w:rFonts w:asciiTheme="minorHAnsi" w:hAnsiTheme="minorHAnsi" w:cstheme="minorHAnsi"/>
                <w:color w:val="333333"/>
                <w:sz w:val="20"/>
                <w:szCs w:val="20"/>
                <w:shd w:val="clear" w:color="auto" w:fill="FFFFFF"/>
              </w:rPr>
              <w:t>:</w:t>
            </w:r>
            <w:r w:rsidRPr="009377F0">
              <w:rPr>
                <w:rStyle w:val="cit-fpage"/>
                <w:rFonts w:asciiTheme="minorHAnsi" w:hAnsiTheme="minorHAnsi" w:cstheme="minorHAnsi"/>
                <w:color w:val="333333"/>
                <w:sz w:val="20"/>
                <w:szCs w:val="20"/>
                <w:shd w:val="clear" w:color="auto" w:fill="FFFFFF"/>
              </w:rPr>
              <w:t>2218</w:t>
            </w:r>
            <w:proofErr w:type="gramEnd"/>
            <w:r w:rsidRPr="009377F0">
              <w:rPr>
                <w:rFonts w:asciiTheme="minorHAnsi" w:hAnsiTheme="minorHAnsi" w:cstheme="minorHAnsi"/>
                <w:color w:val="333333"/>
                <w:sz w:val="20"/>
                <w:szCs w:val="20"/>
                <w:shd w:val="clear" w:color="auto" w:fill="FFFFFF"/>
              </w:rPr>
              <w:t>–25.</w:t>
            </w:r>
          </w:p>
          <w:p w14:paraId="085A06F2" w14:textId="77777777" w:rsidR="00B475C1" w:rsidRDefault="00B475C1" w:rsidP="00B475C1">
            <w:pPr>
              <w:pStyle w:val="NormalWeb"/>
              <w:jc w:val="both"/>
              <w:rPr>
                <w:rStyle w:val="Hyperlink"/>
                <w:rFonts w:asciiTheme="minorHAnsi" w:eastAsiaTheme="majorEastAsia" w:hAnsiTheme="minorHAnsi" w:cstheme="minorHAnsi"/>
                <w:sz w:val="20"/>
                <w:szCs w:val="20"/>
              </w:rPr>
            </w:pPr>
            <w:r w:rsidRPr="00001E63">
              <w:rPr>
                <w:rFonts w:asciiTheme="minorHAnsi" w:hAnsiTheme="minorHAnsi" w:cstheme="minorHAnsi"/>
                <w:bCs/>
                <w:sz w:val="20"/>
                <w:szCs w:val="20"/>
              </w:rPr>
              <w:t>Public Health Ethics in Practice:</w:t>
            </w:r>
            <w:r w:rsidRPr="00001E63">
              <w:rPr>
                <w:rFonts w:asciiTheme="minorHAnsi" w:hAnsiTheme="minorHAnsi" w:cstheme="minorHAnsi"/>
                <w:bCs/>
                <w:color w:val="0B0C0C"/>
                <w:sz w:val="20"/>
                <w:szCs w:val="20"/>
                <w:shd w:val="clear" w:color="auto" w:fill="FFFFFF"/>
              </w:rPr>
              <w:t xml:space="preserve"> An overview of public health ethics for the UK Public Health Skills and Knowledge </w:t>
            </w:r>
            <w:r w:rsidRPr="00001E63">
              <w:rPr>
                <w:rFonts w:asciiTheme="minorHAnsi" w:hAnsiTheme="minorHAnsi" w:cstheme="minorHAnsi"/>
                <w:color w:val="0B0C0C"/>
                <w:sz w:val="20"/>
                <w:szCs w:val="20"/>
                <w:shd w:val="clear" w:color="auto" w:fill="FFFFFF"/>
              </w:rPr>
              <w:t>Framework (PHSKF).</w:t>
            </w:r>
            <w:r w:rsidRPr="00001E63">
              <w:rPr>
                <w:rFonts w:asciiTheme="minorHAnsi" w:hAnsiTheme="minorHAnsi" w:cstheme="minorHAnsi"/>
                <w:b/>
                <w:sz w:val="20"/>
                <w:szCs w:val="20"/>
              </w:rPr>
              <w:t xml:space="preserve"> </w:t>
            </w:r>
            <w:hyperlink r:id="rId37" w:history="1">
              <w:r w:rsidRPr="00001E63">
                <w:rPr>
                  <w:rStyle w:val="Hyperlink"/>
                  <w:rFonts w:asciiTheme="minorHAnsi" w:eastAsiaTheme="majorEastAsia" w:hAnsiTheme="minorHAnsi" w:cstheme="minorHAnsi"/>
                  <w:sz w:val="20"/>
                  <w:szCs w:val="20"/>
                </w:rPr>
                <w:t>https://www.gov.uk/government/publications/public-health-ethics-in-practice</w:t>
              </w:r>
            </w:hyperlink>
          </w:p>
          <w:p w14:paraId="39F4D98A" w14:textId="11586CFE" w:rsidR="00D556C6" w:rsidRPr="00B475C1" w:rsidRDefault="00D556C6" w:rsidP="00B475C1">
            <w:pPr>
              <w:pStyle w:val="NormalWeb"/>
              <w:jc w:val="both"/>
              <w:rPr>
                <w:rFonts w:asciiTheme="minorHAnsi" w:hAnsiTheme="minorHAnsi" w:cstheme="minorHAnsi"/>
                <w:color w:val="333333"/>
                <w:sz w:val="20"/>
                <w:szCs w:val="20"/>
                <w:shd w:val="clear" w:color="auto" w:fill="FFFFFF"/>
              </w:rPr>
            </w:pPr>
          </w:p>
        </w:tc>
      </w:tr>
    </w:tbl>
    <w:p w14:paraId="478BB4A7" w14:textId="5F54FC53" w:rsidR="00001E63" w:rsidRPr="00001E63" w:rsidRDefault="00001E63" w:rsidP="00313B8B">
      <w:pPr>
        <w:pStyle w:val="NormalWeb"/>
        <w:jc w:val="both"/>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9016"/>
      </w:tblGrid>
      <w:tr w:rsidR="00B475C1" w14:paraId="0B69C5BF" w14:textId="77777777" w:rsidTr="00B475C1">
        <w:tc>
          <w:tcPr>
            <w:tcW w:w="9016" w:type="dxa"/>
          </w:tcPr>
          <w:p w14:paraId="4A3FC4B2" w14:textId="5F8AD1F6" w:rsidR="00B475C1" w:rsidRDefault="00B475C1" w:rsidP="003E4A53">
            <w:pPr>
              <w:pStyle w:val="NormalWeb"/>
              <w:jc w:val="center"/>
              <w:rPr>
                <w:rFonts w:asciiTheme="minorHAnsi" w:hAnsiTheme="minorHAnsi" w:cstheme="minorHAnsi"/>
                <w:b/>
                <w:sz w:val="20"/>
                <w:szCs w:val="20"/>
              </w:rPr>
            </w:pPr>
            <w:r w:rsidRPr="00001E63">
              <w:rPr>
                <w:rFonts w:asciiTheme="minorHAnsi" w:hAnsiTheme="minorHAnsi" w:cstheme="minorHAnsi"/>
                <w:b/>
                <w:sz w:val="20"/>
                <w:szCs w:val="20"/>
              </w:rPr>
              <w:t>Legislation</w:t>
            </w:r>
          </w:p>
        </w:tc>
      </w:tr>
      <w:tr w:rsidR="00B475C1" w14:paraId="230A44C3" w14:textId="77777777" w:rsidTr="00B475C1">
        <w:tc>
          <w:tcPr>
            <w:tcW w:w="9016" w:type="dxa"/>
          </w:tcPr>
          <w:p w14:paraId="5C983AEE" w14:textId="77777777" w:rsidR="00B475C1" w:rsidRPr="00001E63" w:rsidRDefault="00B475C1" w:rsidP="00B475C1">
            <w:pPr>
              <w:pStyle w:val="NormalWeb"/>
              <w:jc w:val="both"/>
              <w:rPr>
                <w:rFonts w:asciiTheme="minorHAnsi" w:hAnsiTheme="minorHAnsi" w:cstheme="minorHAnsi"/>
                <w:b/>
                <w:sz w:val="20"/>
                <w:szCs w:val="20"/>
              </w:rPr>
            </w:pPr>
            <w:r>
              <w:rPr>
                <w:rFonts w:asciiTheme="minorHAnsi" w:hAnsiTheme="minorHAnsi" w:cstheme="minorHAnsi"/>
                <w:color w:val="222222"/>
                <w:sz w:val="20"/>
                <w:szCs w:val="20"/>
                <w:shd w:val="clear" w:color="auto" w:fill="FFFFFF"/>
              </w:rPr>
              <w:t xml:space="preserve">Individual versus population, now with reference to </w:t>
            </w:r>
            <w:proofErr w:type="spellStart"/>
            <w:r>
              <w:rPr>
                <w:rFonts w:asciiTheme="minorHAnsi" w:hAnsiTheme="minorHAnsi" w:cstheme="minorHAnsi"/>
                <w:color w:val="222222"/>
                <w:sz w:val="20"/>
                <w:szCs w:val="20"/>
                <w:shd w:val="clear" w:color="auto" w:fill="FFFFFF"/>
              </w:rPr>
              <w:t>Covid</w:t>
            </w:r>
            <w:proofErr w:type="spellEnd"/>
            <w:r>
              <w:rPr>
                <w:rFonts w:asciiTheme="minorHAnsi" w:hAnsiTheme="minorHAnsi" w:cstheme="minorHAnsi"/>
                <w:color w:val="222222"/>
                <w:sz w:val="20"/>
                <w:szCs w:val="20"/>
                <w:shd w:val="clear" w:color="auto" w:fill="FFFFFF"/>
              </w:rPr>
              <w:t xml:space="preserve"> also: </w:t>
            </w:r>
            <w:r w:rsidRPr="00001E63">
              <w:rPr>
                <w:rFonts w:asciiTheme="minorHAnsi" w:hAnsiTheme="minorHAnsi" w:cstheme="minorHAnsi"/>
                <w:color w:val="222222"/>
                <w:sz w:val="20"/>
                <w:szCs w:val="20"/>
                <w:shd w:val="clear" w:color="auto" w:fill="FFFFFF"/>
              </w:rPr>
              <w:t>The Public Health (Control of Disease) Act 1984</w:t>
            </w:r>
            <w:r>
              <w:rPr>
                <w:rFonts w:asciiTheme="minorHAnsi" w:hAnsiTheme="minorHAnsi" w:cstheme="minorHAnsi"/>
                <w:color w:val="222222"/>
                <w:sz w:val="20"/>
                <w:szCs w:val="20"/>
                <w:shd w:val="clear" w:color="auto" w:fill="FFFFFF"/>
              </w:rPr>
              <w:t xml:space="preserve"> (as amended)</w:t>
            </w:r>
          </w:p>
          <w:p w14:paraId="5719927A" w14:textId="77777777" w:rsidR="00B475C1" w:rsidRPr="00001E63" w:rsidRDefault="00B475C1" w:rsidP="00B475C1">
            <w:pPr>
              <w:pStyle w:val="NormalWeb"/>
              <w:rPr>
                <w:rFonts w:asciiTheme="minorHAnsi" w:hAnsiTheme="minorHAnsi" w:cstheme="minorHAnsi"/>
                <w:b/>
                <w:sz w:val="20"/>
                <w:szCs w:val="20"/>
              </w:rPr>
            </w:pPr>
            <w:r w:rsidRPr="00657DAE">
              <w:rPr>
                <w:rFonts w:asciiTheme="minorHAnsi" w:hAnsiTheme="minorHAnsi" w:cstheme="minorHAnsi"/>
                <w:bCs/>
                <w:sz w:val="20"/>
                <w:szCs w:val="20"/>
              </w:rPr>
              <w:t>Duty on NHS to provide treatment</w:t>
            </w:r>
            <w:r>
              <w:rPr>
                <w:rFonts w:asciiTheme="minorHAnsi" w:hAnsiTheme="minorHAnsi" w:cstheme="minorHAnsi"/>
                <w:b/>
                <w:sz w:val="20"/>
                <w:szCs w:val="20"/>
              </w:rPr>
              <w:t xml:space="preserve">: </w:t>
            </w:r>
            <w:r w:rsidRPr="00001E63">
              <w:rPr>
                <w:rFonts w:asciiTheme="minorHAnsi" w:hAnsiTheme="minorHAnsi" w:cstheme="minorHAnsi"/>
                <w:sz w:val="20"/>
                <w:szCs w:val="20"/>
              </w:rPr>
              <w:t xml:space="preserve">National Health Service Act 2006 as amended by the Health and Social Care Act 2012 </w:t>
            </w:r>
          </w:p>
          <w:p w14:paraId="73D3E522" w14:textId="77777777" w:rsidR="00B475C1" w:rsidRDefault="00B475C1" w:rsidP="003E4A53">
            <w:pPr>
              <w:pStyle w:val="NormalWeb"/>
              <w:jc w:val="center"/>
              <w:rPr>
                <w:rFonts w:asciiTheme="minorHAnsi" w:hAnsiTheme="minorHAnsi" w:cstheme="minorHAnsi"/>
                <w:b/>
                <w:sz w:val="20"/>
                <w:szCs w:val="20"/>
              </w:rPr>
            </w:pPr>
          </w:p>
        </w:tc>
      </w:tr>
    </w:tbl>
    <w:p w14:paraId="593B9ADF" w14:textId="77777777" w:rsidR="004370D7" w:rsidRDefault="004370D7">
      <w:pPr>
        <w:rPr>
          <w:rFonts w:asciiTheme="minorHAnsi" w:hAnsiTheme="minorHAnsi" w:cstheme="minorHAnsi"/>
          <w:b/>
          <w:sz w:val="20"/>
          <w:szCs w:val="20"/>
        </w:rPr>
      </w:pPr>
      <w:r>
        <w:rPr>
          <w:rFonts w:asciiTheme="minorHAnsi" w:hAnsiTheme="minorHAnsi" w:cstheme="minorHAnsi"/>
          <w:b/>
          <w:sz w:val="20"/>
          <w:szCs w:val="20"/>
        </w:rPr>
        <w:br w:type="page"/>
      </w:r>
    </w:p>
    <w:p w14:paraId="7BD29DAC" w14:textId="127F5213" w:rsidR="002D3AEA" w:rsidRPr="004370D7" w:rsidRDefault="00216A1E" w:rsidP="00216A1E">
      <w:pPr>
        <w:pStyle w:val="NormalWeb"/>
        <w:jc w:val="center"/>
        <w:rPr>
          <w:rFonts w:asciiTheme="minorHAnsi" w:hAnsiTheme="minorHAnsi" w:cstheme="minorHAnsi"/>
          <w:b/>
        </w:rPr>
      </w:pPr>
      <w:r>
        <w:rPr>
          <w:rFonts w:asciiTheme="minorHAnsi" w:hAnsiTheme="minorHAnsi" w:cstheme="minorHAnsi"/>
          <w:b/>
        </w:rPr>
        <w:t>CHILDREN AND YOUNG PEOPLE</w:t>
      </w:r>
    </w:p>
    <w:p w14:paraId="2F9BA286" w14:textId="00F3C24F" w:rsidR="00E3205C" w:rsidRDefault="002D3AEA" w:rsidP="00313B8B">
      <w:pPr>
        <w:pStyle w:val="NormalWeb"/>
        <w:jc w:val="both"/>
        <w:rPr>
          <w:rFonts w:asciiTheme="minorHAnsi" w:hAnsiTheme="minorHAnsi" w:cstheme="minorHAnsi"/>
          <w:sz w:val="20"/>
          <w:szCs w:val="20"/>
        </w:rPr>
      </w:pPr>
      <w:r w:rsidRPr="00FE06B2">
        <w:rPr>
          <w:rFonts w:asciiTheme="minorHAnsi" w:hAnsiTheme="minorHAnsi" w:cstheme="minorHAnsi"/>
          <w:sz w:val="20"/>
          <w:szCs w:val="20"/>
        </w:rPr>
        <w:t xml:space="preserve">A key focus of this section is balancing </w:t>
      </w:r>
      <w:r w:rsidR="00E3205C">
        <w:rPr>
          <w:rFonts w:asciiTheme="minorHAnsi" w:hAnsiTheme="minorHAnsi" w:cstheme="minorHAnsi"/>
          <w:sz w:val="20"/>
          <w:szCs w:val="20"/>
        </w:rPr>
        <w:t xml:space="preserve">the </w:t>
      </w:r>
      <w:r w:rsidRPr="00FE06B2">
        <w:rPr>
          <w:rFonts w:asciiTheme="minorHAnsi" w:hAnsiTheme="minorHAnsi" w:cstheme="minorHAnsi"/>
          <w:sz w:val="20"/>
          <w:szCs w:val="20"/>
        </w:rPr>
        <w:t xml:space="preserve">best interests </w:t>
      </w:r>
      <w:r w:rsidR="00E3205C">
        <w:rPr>
          <w:rFonts w:asciiTheme="minorHAnsi" w:hAnsiTheme="minorHAnsi" w:cstheme="minorHAnsi"/>
          <w:sz w:val="20"/>
          <w:szCs w:val="20"/>
        </w:rPr>
        <w:t xml:space="preserve">jurisdiction (relevant when children are very young and/or lack capacity) with respecting </w:t>
      </w:r>
      <w:r w:rsidR="00D556C6">
        <w:rPr>
          <w:rFonts w:asciiTheme="minorHAnsi" w:hAnsiTheme="minorHAnsi" w:cstheme="minorHAnsi"/>
          <w:sz w:val="20"/>
          <w:szCs w:val="20"/>
        </w:rPr>
        <w:t xml:space="preserve">the child’s </w:t>
      </w:r>
      <w:r w:rsidR="00E3205C">
        <w:rPr>
          <w:rFonts w:asciiTheme="minorHAnsi" w:hAnsiTheme="minorHAnsi" w:cstheme="minorHAnsi"/>
          <w:sz w:val="20"/>
          <w:szCs w:val="20"/>
        </w:rPr>
        <w:t>wishes and facilitating their (growing) decision-making autonomy</w:t>
      </w:r>
      <w:r w:rsidR="00216A1E">
        <w:rPr>
          <w:rFonts w:asciiTheme="minorHAnsi" w:hAnsiTheme="minorHAnsi" w:cstheme="minorHAnsi"/>
          <w:sz w:val="20"/>
          <w:szCs w:val="20"/>
        </w:rPr>
        <w:t xml:space="preserve"> (Gillick/Fraser competence)</w:t>
      </w:r>
      <w:r w:rsidRPr="00FE06B2">
        <w:rPr>
          <w:rFonts w:asciiTheme="minorHAnsi" w:hAnsiTheme="minorHAnsi" w:cstheme="minorHAnsi"/>
          <w:sz w:val="20"/>
          <w:szCs w:val="20"/>
        </w:rPr>
        <w:t xml:space="preserve">.  </w:t>
      </w:r>
    </w:p>
    <w:p w14:paraId="251376F4" w14:textId="11985A9E" w:rsidR="00216A1E" w:rsidRPr="00D556C6" w:rsidRDefault="00216A1E" w:rsidP="00313B8B">
      <w:pPr>
        <w:pStyle w:val="NormalWeb"/>
        <w:jc w:val="both"/>
        <w:rPr>
          <w:rFonts w:asciiTheme="minorHAnsi" w:hAnsiTheme="minorHAnsi" w:cstheme="minorHAnsi"/>
          <w:color w:val="FFFFFF"/>
          <w:sz w:val="20"/>
          <w:szCs w:val="20"/>
        </w:rPr>
      </w:pPr>
      <w:r w:rsidRPr="00FE06B2">
        <w:rPr>
          <w:rFonts w:asciiTheme="minorHAnsi" w:hAnsiTheme="minorHAnsi" w:cstheme="minorHAnsi"/>
          <w:sz w:val="20"/>
          <w:szCs w:val="20"/>
        </w:rPr>
        <w:t>You may want to consider how children could be treated by their family or society when it comes to consent and confidentiality</w:t>
      </w:r>
      <w:r w:rsidR="00D556C6">
        <w:rPr>
          <w:rFonts w:asciiTheme="minorHAnsi" w:hAnsiTheme="minorHAnsi" w:cstheme="minorHAnsi"/>
          <w:sz w:val="20"/>
          <w:szCs w:val="20"/>
        </w:rPr>
        <w:t>,</w:t>
      </w:r>
      <w:r w:rsidRPr="00FE06B2">
        <w:rPr>
          <w:rFonts w:asciiTheme="minorHAnsi" w:hAnsiTheme="minorHAnsi" w:cstheme="minorHAnsi"/>
          <w:sz w:val="20"/>
          <w:szCs w:val="20"/>
        </w:rPr>
        <w:t xml:space="preserve"> and the ethics and practical implications to this.  You may also want to explore the role that parents, guardians or courts play with regard to complex and significant decisions about the child. Other considerations include how cultural practices influence a child’s development and health</w:t>
      </w:r>
      <w:r w:rsidR="00D556C6">
        <w:rPr>
          <w:rFonts w:asciiTheme="minorHAnsi" w:hAnsiTheme="minorHAnsi" w:cstheme="minorHAnsi"/>
          <w:sz w:val="20"/>
          <w:szCs w:val="20"/>
        </w:rPr>
        <w:t xml:space="preserve">, </w:t>
      </w:r>
      <w:r w:rsidRPr="00FE06B2">
        <w:rPr>
          <w:rFonts w:asciiTheme="minorHAnsi" w:hAnsiTheme="minorHAnsi" w:cstheme="minorHAnsi"/>
          <w:sz w:val="20"/>
          <w:szCs w:val="20"/>
        </w:rPr>
        <w:t xml:space="preserve">and </w:t>
      </w:r>
      <w:r w:rsidR="00D556C6">
        <w:rPr>
          <w:rFonts w:asciiTheme="minorHAnsi" w:hAnsiTheme="minorHAnsi" w:cstheme="minorHAnsi"/>
          <w:sz w:val="20"/>
          <w:szCs w:val="20"/>
        </w:rPr>
        <w:t xml:space="preserve">how respect for diversity is balanced against best </w:t>
      </w:r>
      <w:proofErr w:type="gramStart"/>
      <w:r w:rsidR="00D556C6">
        <w:rPr>
          <w:rFonts w:asciiTheme="minorHAnsi" w:hAnsiTheme="minorHAnsi" w:cstheme="minorHAnsi"/>
          <w:sz w:val="20"/>
          <w:szCs w:val="20"/>
        </w:rPr>
        <w:t>interests</w:t>
      </w:r>
      <w:proofErr w:type="gramEnd"/>
      <w:r w:rsidR="00D556C6">
        <w:rPr>
          <w:rFonts w:asciiTheme="minorHAnsi" w:hAnsiTheme="minorHAnsi" w:cstheme="minorHAnsi"/>
          <w:sz w:val="20"/>
          <w:szCs w:val="20"/>
        </w:rPr>
        <w:t xml:space="preserve"> decision-making</w:t>
      </w:r>
      <w:r w:rsidRPr="00FE06B2">
        <w:rPr>
          <w:rFonts w:asciiTheme="minorHAnsi" w:hAnsiTheme="minorHAnsi" w:cstheme="minorHAnsi"/>
          <w:sz w:val="20"/>
          <w:szCs w:val="20"/>
        </w:rPr>
        <w:t xml:space="preserve">.  </w:t>
      </w:r>
    </w:p>
    <w:p w14:paraId="59F7CCD7" w14:textId="46007A39" w:rsidR="002D3AEA" w:rsidRPr="00FE06B2" w:rsidRDefault="00E3205C" w:rsidP="00313B8B">
      <w:pPr>
        <w:pStyle w:val="NormalWeb"/>
        <w:jc w:val="both"/>
        <w:rPr>
          <w:rFonts w:asciiTheme="minorHAnsi" w:hAnsiTheme="minorHAnsi" w:cstheme="minorHAnsi"/>
          <w:sz w:val="20"/>
          <w:szCs w:val="20"/>
        </w:rPr>
      </w:pPr>
      <w:r>
        <w:rPr>
          <w:rFonts w:asciiTheme="minorHAnsi" w:hAnsiTheme="minorHAnsi" w:cstheme="minorHAnsi"/>
          <w:sz w:val="20"/>
          <w:szCs w:val="20"/>
        </w:rPr>
        <w:t xml:space="preserve">Highly publicised cases </w:t>
      </w:r>
      <w:r w:rsidR="002D3AEA" w:rsidRPr="00FE06B2">
        <w:rPr>
          <w:rFonts w:asciiTheme="minorHAnsi" w:hAnsiTheme="minorHAnsi" w:cstheme="minorHAnsi"/>
          <w:sz w:val="20"/>
          <w:szCs w:val="20"/>
        </w:rPr>
        <w:t xml:space="preserve">about </w:t>
      </w:r>
      <w:r>
        <w:rPr>
          <w:rFonts w:asciiTheme="minorHAnsi" w:hAnsiTheme="minorHAnsi" w:cstheme="minorHAnsi"/>
          <w:sz w:val="20"/>
          <w:szCs w:val="20"/>
        </w:rPr>
        <w:t xml:space="preserve">providing or withdrawing life-supporting treatment to </w:t>
      </w:r>
      <w:r w:rsidR="002D3AEA" w:rsidRPr="00FE06B2">
        <w:rPr>
          <w:rFonts w:asciiTheme="minorHAnsi" w:hAnsiTheme="minorHAnsi" w:cstheme="minorHAnsi"/>
          <w:sz w:val="20"/>
          <w:szCs w:val="20"/>
        </w:rPr>
        <w:t xml:space="preserve">babies or very young children </w:t>
      </w:r>
      <w:r>
        <w:rPr>
          <w:rFonts w:asciiTheme="minorHAnsi" w:hAnsiTheme="minorHAnsi" w:cstheme="minorHAnsi"/>
          <w:sz w:val="20"/>
          <w:szCs w:val="20"/>
        </w:rPr>
        <w:t>with disabilities</w:t>
      </w:r>
      <w:r w:rsidR="002D3AEA" w:rsidRPr="00FE06B2">
        <w:rPr>
          <w:rFonts w:asciiTheme="minorHAnsi" w:hAnsiTheme="minorHAnsi" w:cstheme="minorHAnsi"/>
          <w:sz w:val="20"/>
          <w:szCs w:val="20"/>
        </w:rPr>
        <w:t xml:space="preserve"> </w:t>
      </w:r>
      <w:r>
        <w:rPr>
          <w:rFonts w:asciiTheme="minorHAnsi" w:hAnsiTheme="minorHAnsi" w:cstheme="minorHAnsi"/>
          <w:sz w:val="20"/>
          <w:szCs w:val="20"/>
        </w:rPr>
        <w:t xml:space="preserve">raise issues of assessing what is in a child’s best interests, including where there may be </w:t>
      </w:r>
      <w:r w:rsidR="002D3AEA" w:rsidRPr="00FE06B2">
        <w:rPr>
          <w:rFonts w:asciiTheme="minorHAnsi" w:hAnsiTheme="minorHAnsi" w:cstheme="minorHAnsi"/>
          <w:sz w:val="20"/>
          <w:szCs w:val="20"/>
        </w:rPr>
        <w:t xml:space="preserve">disagreement </w:t>
      </w:r>
      <w:r>
        <w:rPr>
          <w:rFonts w:asciiTheme="minorHAnsi" w:hAnsiTheme="minorHAnsi" w:cstheme="minorHAnsi"/>
          <w:sz w:val="20"/>
          <w:szCs w:val="20"/>
        </w:rPr>
        <w:t>between parent and the public and medical professionals.</w:t>
      </w:r>
    </w:p>
    <w:p w14:paraId="11484C3A" w14:textId="15956DB6" w:rsidR="002D3AEA" w:rsidRPr="00FE06B2" w:rsidRDefault="00216A1E" w:rsidP="00313B8B">
      <w:pPr>
        <w:pStyle w:val="NormalWeb"/>
        <w:jc w:val="both"/>
        <w:rPr>
          <w:rFonts w:asciiTheme="minorHAnsi" w:hAnsiTheme="minorHAnsi" w:cstheme="minorHAnsi"/>
          <w:sz w:val="20"/>
          <w:szCs w:val="20"/>
        </w:rPr>
      </w:pPr>
      <w:r>
        <w:rPr>
          <w:rFonts w:asciiTheme="minorHAnsi" w:hAnsiTheme="minorHAnsi" w:cstheme="minorHAnsi"/>
          <w:sz w:val="20"/>
          <w:szCs w:val="20"/>
        </w:rPr>
        <w:t>Relevant provisions include the</w:t>
      </w:r>
      <w:r w:rsidR="002D3AEA" w:rsidRPr="00FE06B2">
        <w:rPr>
          <w:rFonts w:asciiTheme="minorHAnsi" w:hAnsiTheme="minorHAnsi" w:cstheme="minorHAnsi"/>
          <w:sz w:val="20"/>
          <w:szCs w:val="20"/>
        </w:rPr>
        <w:t xml:space="preserve"> Children Act, </w:t>
      </w:r>
      <w:r>
        <w:rPr>
          <w:rFonts w:asciiTheme="minorHAnsi" w:hAnsiTheme="minorHAnsi" w:cstheme="minorHAnsi"/>
          <w:sz w:val="20"/>
          <w:szCs w:val="20"/>
        </w:rPr>
        <w:t xml:space="preserve">the </w:t>
      </w:r>
      <w:r w:rsidR="002D3AEA" w:rsidRPr="00FE06B2">
        <w:rPr>
          <w:rFonts w:asciiTheme="minorHAnsi" w:hAnsiTheme="minorHAnsi" w:cstheme="minorHAnsi"/>
          <w:sz w:val="20"/>
          <w:szCs w:val="20"/>
        </w:rPr>
        <w:t xml:space="preserve">United Nations Convention on the </w:t>
      </w:r>
      <w:r>
        <w:rPr>
          <w:rFonts w:asciiTheme="minorHAnsi" w:hAnsiTheme="minorHAnsi" w:cstheme="minorHAnsi"/>
          <w:sz w:val="20"/>
          <w:szCs w:val="20"/>
        </w:rPr>
        <w:t>R</w:t>
      </w:r>
      <w:r w:rsidR="002D3AEA" w:rsidRPr="00FE06B2">
        <w:rPr>
          <w:rFonts w:asciiTheme="minorHAnsi" w:hAnsiTheme="minorHAnsi" w:cstheme="minorHAnsi"/>
          <w:sz w:val="20"/>
          <w:szCs w:val="20"/>
        </w:rPr>
        <w:t xml:space="preserve">ights of the </w:t>
      </w:r>
      <w:r>
        <w:rPr>
          <w:rFonts w:asciiTheme="minorHAnsi" w:hAnsiTheme="minorHAnsi" w:cstheme="minorHAnsi"/>
          <w:sz w:val="20"/>
          <w:szCs w:val="20"/>
        </w:rPr>
        <w:t>C</w:t>
      </w:r>
      <w:r w:rsidR="002D3AEA" w:rsidRPr="00FE06B2">
        <w:rPr>
          <w:rFonts w:asciiTheme="minorHAnsi" w:hAnsiTheme="minorHAnsi" w:cstheme="minorHAnsi"/>
          <w:sz w:val="20"/>
          <w:szCs w:val="20"/>
        </w:rPr>
        <w:t>hild</w:t>
      </w:r>
      <w:r w:rsidR="00B55A7A">
        <w:rPr>
          <w:rFonts w:asciiTheme="minorHAnsi" w:hAnsiTheme="minorHAnsi" w:cstheme="minorHAnsi"/>
          <w:sz w:val="20"/>
          <w:szCs w:val="20"/>
        </w:rPr>
        <w:t>,</w:t>
      </w:r>
      <w:r w:rsidR="002D3AEA" w:rsidRPr="00FE06B2">
        <w:rPr>
          <w:rFonts w:asciiTheme="minorHAnsi" w:hAnsiTheme="minorHAnsi" w:cstheme="minorHAnsi"/>
          <w:sz w:val="20"/>
          <w:szCs w:val="20"/>
        </w:rPr>
        <w:t xml:space="preserve"> and Mental Capacity Act.  </w:t>
      </w:r>
    </w:p>
    <w:tbl>
      <w:tblPr>
        <w:tblStyle w:val="TableGrid"/>
        <w:tblW w:w="0" w:type="auto"/>
        <w:tblLook w:val="04A0" w:firstRow="1" w:lastRow="0" w:firstColumn="1" w:lastColumn="0" w:noHBand="0" w:noVBand="1"/>
      </w:tblPr>
      <w:tblGrid>
        <w:gridCol w:w="9010"/>
      </w:tblGrid>
      <w:tr w:rsidR="002D3AEA" w:rsidRPr="00FE06B2" w14:paraId="456243BD" w14:textId="77777777" w:rsidTr="002D3AEA">
        <w:tc>
          <w:tcPr>
            <w:tcW w:w="9010" w:type="dxa"/>
          </w:tcPr>
          <w:p w14:paraId="1DA105A5" w14:textId="32FA65E9" w:rsidR="00216A1E" w:rsidRPr="00216A1E" w:rsidRDefault="003E4A53" w:rsidP="00E03C65">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 xml:space="preserve">Useful </w:t>
            </w:r>
            <w:r w:rsidR="002D3AEA" w:rsidRPr="00216A1E">
              <w:rPr>
                <w:rFonts w:asciiTheme="minorHAnsi" w:hAnsiTheme="minorHAnsi" w:cstheme="minorHAnsi"/>
                <w:b/>
                <w:bCs/>
                <w:color w:val="000000" w:themeColor="text1"/>
                <w:sz w:val="20"/>
                <w:szCs w:val="20"/>
              </w:rPr>
              <w:t>Resources</w:t>
            </w:r>
          </w:p>
        </w:tc>
      </w:tr>
      <w:tr w:rsidR="002D3AEA" w:rsidRPr="00FE06B2" w14:paraId="197A5BAA" w14:textId="77777777" w:rsidTr="002D3AEA">
        <w:tc>
          <w:tcPr>
            <w:tcW w:w="9010" w:type="dxa"/>
          </w:tcPr>
          <w:p w14:paraId="1D7A7374" w14:textId="472380D5" w:rsidR="00D556C6" w:rsidRPr="00FE06B2" w:rsidRDefault="00D556C6" w:rsidP="00D556C6">
            <w:pPr>
              <w:rPr>
                <w:rFonts w:asciiTheme="minorHAnsi" w:hAnsiTheme="minorHAnsi" w:cstheme="minorHAnsi"/>
                <w:color w:val="333333"/>
                <w:sz w:val="20"/>
                <w:szCs w:val="20"/>
              </w:rPr>
            </w:pPr>
            <w:proofErr w:type="spellStart"/>
            <w:r w:rsidRPr="00FE06B2">
              <w:rPr>
                <w:rStyle w:val="nlm-surname"/>
                <w:rFonts w:asciiTheme="minorHAnsi" w:hAnsiTheme="minorHAnsi" w:cstheme="minorHAnsi"/>
                <w:color w:val="333333"/>
                <w:sz w:val="20"/>
                <w:szCs w:val="20"/>
              </w:rPr>
              <w:t>Larcher</w:t>
            </w:r>
            <w:proofErr w:type="spellEnd"/>
            <w:r>
              <w:rPr>
                <w:rStyle w:val="nlm-surname"/>
                <w:rFonts w:asciiTheme="minorHAnsi" w:hAnsiTheme="minorHAnsi" w:cstheme="minorHAnsi"/>
                <w:color w:val="333333"/>
                <w:sz w:val="20"/>
                <w:szCs w:val="20"/>
              </w:rPr>
              <w:t>,</w:t>
            </w:r>
            <w:r w:rsidRPr="00FE06B2">
              <w:rPr>
                <w:rStyle w:val="apple-converted-space"/>
                <w:rFonts w:asciiTheme="minorHAnsi" w:hAnsiTheme="minorHAnsi" w:cstheme="minorHAnsi"/>
                <w:color w:val="333333"/>
                <w:sz w:val="20"/>
                <w:szCs w:val="20"/>
              </w:rPr>
              <w:t> </w:t>
            </w:r>
            <w:r w:rsidRPr="00FE06B2">
              <w:rPr>
                <w:rStyle w:val="highwire-citation-author"/>
                <w:rFonts w:asciiTheme="minorHAnsi" w:hAnsiTheme="minorHAnsi" w:cstheme="minorHAnsi"/>
                <w:color w:val="333333"/>
                <w:sz w:val="20"/>
                <w:szCs w:val="20"/>
              </w:rPr>
              <w:t>V</w:t>
            </w:r>
            <w:r>
              <w:rPr>
                <w:rStyle w:val="highwire-citation-author"/>
                <w:rFonts w:asciiTheme="minorHAnsi" w:hAnsiTheme="minorHAnsi" w:cstheme="minorHAnsi"/>
                <w:color w:val="333333"/>
                <w:sz w:val="20"/>
                <w:szCs w:val="20"/>
              </w:rPr>
              <w:t>.</w:t>
            </w:r>
            <w:r w:rsidRPr="00FE06B2">
              <w:rPr>
                <w:rStyle w:val="highwire-citation-authors"/>
                <w:rFonts w:asciiTheme="minorHAnsi" w:hAnsiTheme="minorHAnsi" w:cstheme="minorHAnsi"/>
                <w:color w:val="333333"/>
                <w:sz w:val="20"/>
                <w:szCs w:val="20"/>
              </w:rPr>
              <w:t>,</w:t>
            </w:r>
            <w:r w:rsidRPr="00FE06B2">
              <w:rPr>
                <w:rStyle w:val="apple-converted-space"/>
                <w:rFonts w:asciiTheme="minorHAnsi" w:hAnsiTheme="minorHAnsi" w:cstheme="minorHAnsi"/>
                <w:color w:val="333333"/>
                <w:sz w:val="20"/>
                <w:szCs w:val="20"/>
              </w:rPr>
              <w:t> </w:t>
            </w:r>
            <w:r w:rsidRPr="00FE06B2">
              <w:rPr>
                <w:rStyle w:val="nlm-surname"/>
                <w:rFonts w:asciiTheme="minorHAnsi" w:hAnsiTheme="minorHAnsi" w:cstheme="minorHAnsi"/>
                <w:color w:val="333333"/>
                <w:sz w:val="20"/>
                <w:szCs w:val="20"/>
              </w:rPr>
              <w:t>Craig</w:t>
            </w:r>
            <w:r>
              <w:rPr>
                <w:rStyle w:val="nlm-surname"/>
                <w:rFonts w:asciiTheme="minorHAnsi" w:hAnsiTheme="minorHAnsi" w:cstheme="minorHAnsi"/>
                <w:color w:val="333333"/>
                <w:sz w:val="20"/>
                <w:szCs w:val="20"/>
              </w:rPr>
              <w:t>,</w:t>
            </w:r>
            <w:r w:rsidRPr="00FE06B2">
              <w:rPr>
                <w:rStyle w:val="apple-converted-space"/>
                <w:rFonts w:asciiTheme="minorHAnsi" w:hAnsiTheme="minorHAnsi" w:cstheme="minorHAnsi"/>
                <w:color w:val="333333"/>
                <w:sz w:val="20"/>
                <w:szCs w:val="20"/>
              </w:rPr>
              <w:t> </w:t>
            </w:r>
            <w:r w:rsidRPr="00FE06B2">
              <w:rPr>
                <w:rStyle w:val="highwire-citation-author"/>
                <w:rFonts w:asciiTheme="minorHAnsi" w:hAnsiTheme="minorHAnsi" w:cstheme="minorHAnsi"/>
                <w:color w:val="333333"/>
                <w:sz w:val="20"/>
                <w:szCs w:val="20"/>
              </w:rPr>
              <w:t>F</w:t>
            </w:r>
            <w:r>
              <w:rPr>
                <w:rStyle w:val="highwire-citation-author"/>
                <w:rFonts w:asciiTheme="minorHAnsi" w:hAnsiTheme="minorHAnsi" w:cstheme="minorHAnsi"/>
                <w:color w:val="333333"/>
                <w:sz w:val="20"/>
                <w:szCs w:val="20"/>
              </w:rPr>
              <w:t>.</w:t>
            </w:r>
            <w:r w:rsidRPr="00FE06B2">
              <w:rPr>
                <w:rStyle w:val="highwire-citation-authors"/>
                <w:rFonts w:asciiTheme="minorHAnsi" w:hAnsiTheme="minorHAnsi" w:cstheme="minorHAnsi"/>
                <w:color w:val="333333"/>
                <w:sz w:val="20"/>
                <w:szCs w:val="20"/>
              </w:rPr>
              <w:t>,</w:t>
            </w:r>
            <w:r w:rsidRPr="00FE06B2">
              <w:rPr>
                <w:rStyle w:val="apple-converted-space"/>
                <w:rFonts w:asciiTheme="minorHAnsi" w:hAnsiTheme="minorHAnsi" w:cstheme="minorHAnsi"/>
                <w:color w:val="333333"/>
                <w:sz w:val="20"/>
                <w:szCs w:val="20"/>
              </w:rPr>
              <w:t> </w:t>
            </w:r>
            <w:proofErr w:type="spellStart"/>
            <w:r w:rsidRPr="00FE06B2">
              <w:rPr>
                <w:rStyle w:val="nlm-surname"/>
                <w:rFonts w:asciiTheme="minorHAnsi" w:hAnsiTheme="minorHAnsi" w:cstheme="minorHAnsi"/>
                <w:color w:val="333333"/>
                <w:sz w:val="20"/>
                <w:szCs w:val="20"/>
              </w:rPr>
              <w:t>Bhogal</w:t>
            </w:r>
            <w:proofErr w:type="spellEnd"/>
            <w:r>
              <w:rPr>
                <w:rStyle w:val="nlm-surname"/>
                <w:rFonts w:asciiTheme="minorHAnsi" w:hAnsiTheme="minorHAnsi" w:cstheme="minorHAnsi"/>
                <w:color w:val="333333"/>
                <w:sz w:val="20"/>
                <w:szCs w:val="20"/>
              </w:rPr>
              <w:t>,</w:t>
            </w:r>
            <w:r w:rsidRPr="00FE06B2">
              <w:rPr>
                <w:rStyle w:val="apple-converted-space"/>
                <w:rFonts w:asciiTheme="minorHAnsi" w:hAnsiTheme="minorHAnsi" w:cstheme="minorHAnsi"/>
                <w:color w:val="333333"/>
                <w:sz w:val="20"/>
                <w:szCs w:val="20"/>
              </w:rPr>
              <w:t> </w:t>
            </w:r>
            <w:r w:rsidRPr="00FE06B2">
              <w:rPr>
                <w:rStyle w:val="highwire-citation-author"/>
                <w:rFonts w:asciiTheme="minorHAnsi" w:hAnsiTheme="minorHAnsi" w:cstheme="minorHAnsi"/>
                <w:color w:val="333333"/>
                <w:sz w:val="20"/>
                <w:szCs w:val="20"/>
              </w:rPr>
              <w:t>K</w:t>
            </w:r>
            <w:r>
              <w:rPr>
                <w:rStyle w:val="highwire-citation-author"/>
                <w:rFonts w:asciiTheme="minorHAnsi" w:hAnsiTheme="minorHAnsi" w:cstheme="minorHAnsi"/>
                <w:color w:val="333333"/>
                <w:sz w:val="20"/>
                <w:szCs w:val="20"/>
              </w:rPr>
              <w:t>.</w:t>
            </w:r>
            <w:r w:rsidRPr="00FE06B2">
              <w:rPr>
                <w:rStyle w:val="citation-et"/>
                <w:rFonts w:asciiTheme="minorHAnsi" w:hAnsiTheme="minorHAnsi" w:cstheme="minorHAnsi"/>
                <w:i/>
                <w:iCs/>
                <w:color w:val="333333"/>
                <w:sz w:val="20"/>
                <w:szCs w:val="20"/>
              </w:rPr>
              <w:t>, et al</w:t>
            </w:r>
            <w:r w:rsidRPr="00FE06B2">
              <w:rPr>
                <w:rStyle w:val="citation-et"/>
                <w:rFonts w:asciiTheme="minorHAnsi" w:hAnsiTheme="minorHAnsi" w:cstheme="minorHAnsi"/>
                <w:iCs/>
                <w:color w:val="333333"/>
                <w:sz w:val="20"/>
                <w:szCs w:val="20"/>
              </w:rPr>
              <w:t xml:space="preserve"> </w:t>
            </w:r>
            <w:r w:rsidRPr="00FE06B2">
              <w:rPr>
                <w:rStyle w:val="citation-et"/>
                <w:rFonts w:asciiTheme="minorHAnsi" w:hAnsiTheme="minorHAnsi"/>
                <w:iCs/>
                <w:color w:val="333333"/>
                <w:sz w:val="20"/>
                <w:szCs w:val="20"/>
              </w:rPr>
              <w:t xml:space="preserve">(2015). </w:t>
            </w:r>
            <w:r w:rsidRPr="00FE06B2">
              <w:rPr>
                <w:rFonts w:asciiTheme="minorHAnsi" w:hAnsiTheme="minorHAnsi" w:cstheme="minorHAnsi"/>
                <w:color w:val="333333"/>
                <w:sz w:val="20"/>
                <w:szCs w:val="20"/>
              </w:rPr>
              <w:t xml:space="preserve">Making decisions to limit treatment in life-limiting and life-threatening conditions in children: a framework for practice. </w:t>
            </w:r>
            <w:r w:rsidRPr="00FE06B2">
              <w:rPr>
                <w:rStyle w:val="highwire-cite-metadata-journal"/>
                <w:rFonts w:asciiTheme="minorHAnsi" w:hAnsiTheme="minorHAnsi" w:cstheme="minorHAnsi"/>
                <w:i/>
                <w:iCs/>
                <w:color w:val="333333"/>
                <w:sz w:val="20"/>
                <w:szCs w:val="20"/>
              </w:rPr>
              <w:t>Archives of Disease in Childhood</w:t>
            </w:r>
            <w:r w:rsidRPr="00FE06B2">
              <w:rPr>
                <w:rStyle w:val="apple-converted-space"/>
                <w:rFonts w:asciiTheme="minorHAnsi" w:hAnsiTheme="minorHAnsi" w:cstheme="minorHAnsi"/>
                <w:i/>
                <w:iCs/>
                <w:color w:val="333333"/>
                <w:sz w:val="20"/>
                <w:szCs w:val="20"/>
              </w:rPr>
              <w:t> </w:t>
            </w:r>
            <w:r w:rsidRPr="00FE06B2">
              <w:rPr>
                <w:rStyle w:val="highwire-cite-metadata-year"/>
                <w:rFonts w:asciiTheme="minorHAnsi" w:hAnsiTheme="minorHAnsi" w:cstheme="minorHAnsi"/>
                <w:color w:val="333333"/>
                <w:sz w:val="20"/>
                <w:szCs w:val="20"/>
              </w:rPr>
              <w:t>2015</w:t>
            </w:r>
            <w:proofErr w:type="gramStart"/>
            <w:r w:rsidRPr="00FE06B2">
              <w:rPr>
                <w:rStyle w:val="highwire-cite-metadata-year"/>
                <w:rFonts w:asciiTheme="minorHAnsi" w:hAnsiTheme="minorHAnsi" w:cstheme="minorHAnsi"/>
                <w:color w:val="333333"/>
                <w:sz w:val="20"/>
                <w:szCs w:val="20"/>
              </w:rPr>
              <w:t>;</w:t>
            </w:r>
            <w:r w:rsidRPr="00FE06B2">
              <w:rPr>
                <w:rStyle w:val="highwire-cite-metadata-volume"/>
                <w:rFonts w:asciiTheme="minorHAnsi" w:hAnsiTheme="minorHAnsi" w:cstheme="minorHAnsi"/>
                <w:b/>
                <w:bCs/>
                <w:color w:val="333333"/>
                <w:sz w:val="20"/>
                <w:szCs w:val="20"/>
              </w:rPr>
              <w:t>100:</w:t>
            </w:r>
            <w:r w:rsidRPr="00FE06B2">
              <w:rPr>
                <w:rStyle w:val="highwire-cite-metadata-pages"/>
                <w:rFonts w:asciiTheme="minorHAnsi" w:hAnsiTheme="minorHAnsi" w:cstheme="minorHAnsi"/>
                <w:color w:val="333333"/>
                <w:sz w:val="20"/>
                <w:szCs w:val="20"/>
              </w:rPr>
              <w:t>s1</w:t>
            </w:r>
            <w:proofErr w:type="gramEnd"/>
            <w:r w:rsidRPr="00FE06B2">
              <w:rPr>
                <w:rStyle w:val="highwire-cite-metadata-pages"/>
                <w:rFonts w:asciiTheme="minorHAnsi" w:hAnsiTheme="minorHAnsi" w:cstheme="minorHAnsi"/>
                <w:color w:val="333333"/>
                <w:sz w:val="20"/>
                <w:szCs w:val="20"/>
              </w:rPr>
              <w:t>-s23.</w:t>
            </w:r>
          </w:p>
          <w:p w14:paraId="52374A16" w14:textId="77777777" w:rsidR="002D3AEA" w:rsidRPr="00FE06B2" w:rsidRDefault="002D3AEA" w:rsidP="002D3AEA">
            <w:pPr>
              <w:rPr>
                <w:rFonts w:asciiTheme="minorHAnsi" w:hAnsiTheme="minorHAnsi" w:cstheme="minorHAnsi"/>
                <w:color w:val="000000" w:themeColor="text1"/>
                <w:sz w:val="20"/>
                <w:szCs w:val="20"/>
              </w:rPr>
            </w:pPr>
          </w:p>
          <w:p w14:paraId="23154C81" w14:textId="4FDBB2DC" w:rsidR="009377F0" w:rsidRPr="009377F0" w:rsidRDefault="009377F0" w:rsidP="002D3AEA">
            <w:pPr>
              <w:rPr>
                <w:rFonts w:asciiTheme="minorHAnsi" w:eastAsiaTheme="majorEastAsia" w:hAnsiTheme="minorHAnsi" w:cstheme="minorHAnsi"/>
                <w:sz w:val="20"/>
                <w:szCs w:val="20"/>
              </w:rPr>
            </w:pPr>
            <w:r w:rsidRPr="009377F0">
              <w:rPr>
                <w:rFonts w:asciiTheme="minorHAnsi" w:hAnsiTheme="minorHAnsi" w:cstheme="minorHAnsi"/>
                <w:sz w:val="20"/>
                <w:szCs w:val="20"/>
              </w:rPr>
              <w:t xml:space="preserve">GMC 2018 guidance on children and best interests decision-making </w:t>
            </w:r>
            <w:hyperlink r:id="rId38" w:history="1">
              <w:r w:rsidRPr="009377F0">
                <w:rPr>
                  <w:rStyle w:val="Hyperlink"/>
                  <w:rFonts w:asciiTheme="minorHAnsi" w:eastAsiaTheme="majorEastAsia" w:hAnsiTheme="minorHAnsi" w:cstheme="minorHAnsi"/>
                  <w:sz w:val="20"/>
                  <w:szCs w:val="20"/>
                </w:rPr>
                <w:t>https://www.gmc-uk.org/ethical-guidance/ethical-guidance-for-doctors/0-18-years</w:t>
              </w:r>
            </w:hyperlink>
          </w:p>
          <w:p w14:paraId="461BA0FC" w14:textId="77777777" w:rsidR="00D556C6" w:rsidRPr="00FE06B2" w:rsidRDefault="002D3AEA" w:rsidP="00D556C6">
            <w:pPr>
              <w:rPr>
                <w:rFonts w:asciiTheme="minorHAnsi" w:hAnsiTheme="minorHAnsi" w:cstheme="minorHAnsi"/>
                <w:sz w:val="20"/>
                <w:szCs w:val="20"/>
              </w:rPr>
            </w:pPr>
            <w:r w:rsidRPr="009377F0">
              <w:rPr>
                <w:rFonts w:asciiTheme="minorHAnsi" w:hAnsiTheme="minorHAnsi" w:cstheme="minorHAnsi"/>
                <w:color w:val="333333"/>
                <w:sz w:val="20"/>
                <w:szCs w:val="20"/>
              </w:rPr>
              <w:br/>
            </w:r>
            <w:r w:rsidR="00D556C6" w:rsidRPr="00FE06B2">
              <w:rPr>
                <w:rFonts w:asciiTheme="minorHAnsi" w:hAnsiTheme="minorHAnsi" w:cstheme="minorHAnsi"/>
                <w:sz w:val="20"/>
                <w:szCs w:val="20"/>
              </w:rPr>
              <w:t xml:space="preserve">Royal College of Paediatrics and Child Health Resources.  </w:t>
            </w:r>
            <w:hyperlink r:id="rId39" w:history="1">
              <w:r w:rsidR="00D556C6" w:rsidRPr="00FE06B2">
                <w:rPr>
                  <w:rStyle w:val="Hyperlink"/>
                  <w:rFonts w:asciiTheme="minorHAnsi" w:hAnsiTheme="minorHAnsi" w:cstheme="minorHAnsi"/>
                  <w:sz w:val="20"/>
                  <w:szCs w:val="20"/>
                </w:rPr>
                <w:t>https://www.rcpch.ac.uk/resources/professional-ethics-law-resources</w:t>
              </w:r>
            </w:hyperlink>
          </w:p>
          <w:p w14:paraId="6B3CE06B" w14:textId="2CFBAE67" w:rsidR="002D3AEA" w:rsidRPr="00FE06B2" w:rsidRDefault="002D3AEA" w:rsidP="00D556C6">
            <w:pPr>
              <w:rPr>
                <w:rFonts w:asciiTheme="minorHAnsi" w:hAnsiTheme="minorHAnsi" w:cstheme="minorHAnsi"/>
                <w:color w:val="000000" w:themeColor="text1"/>
                <w:sz w:val="20"/>
                <w:szCs w:val="20"/>
              </w:rPr>
            </w:pPr>
          </w:p>
        </w:tc>
      </w:tr>
    </w:tbl>
    <w:p w14:paraId="061B46BA" w14:textId="77777777" w:rsidR="002D3AEA" w:rsidRPr="00FE06B2" w:rsidRDefault="002D3AEA" w:rsidP="002D3AEA">
      <w:pPr>
        <w:rPr>
          <w:rFonts w:asciiTheme="minorHAnsi" w:hAnsiTheme="minorHAnsi" w:cstheme="minorHAnsi"/>
          <w:color w:val="000000" w:themeColor="text1"/>
          <w:sz w:val="20"/>
          <w:szCs w:val="20"/>
        </w:rPr>
      </w:pPr>
    </w:p>
    <w:p w14:paraId="5F75095D" w14:textId="77777777" w:rsidR="002D3AEA" w:rsidRPr="00FE06B2" w:rsidRDefault="002D3AEA" w:rsidP="002D3AEA">
      <w:pPr>
        <w:rPr>
          <w:rFonts w:asciiTheme="minorHAnsi" w:hAnsiTheme="minorHAnsi" w:cstheme="minorHAnsi"/>
          <w:color w:val="000000" w:themeColor="text1"/>
          <w:sz w:val="20"/>
          <w:szCs w:val="20"/>
        </w:rPr>
      </w:pPr>
    </w:p>
    <w:tbl>
      <w:tblPr>
        <w:tblStyle w:val="TableGrid"/>
        <w:tblW w:w="0" w:type="auto"/>
        <w:tblLook w:val="04A0" w:firstRow="1" w:lastRow="0" w:firstColumn="1" w:lastColumn="0" w:noHBand="0" w:noVBand="1"/>
      </w:tblPr>
      <w:tblGrid>
        <w:gridCol w:w="9010"/>
      </w:tblGrid>
      <w:tr w:rsidR="002D3AEA" w:rsidRPr="00FE06B2" w14:paraId="7EF42528" w14:textId="77777777" w:rsidTr="002D3AEA">
        <w:tc>
          <w:tcPr>
            <w:tcW w:w="9010" w:type="dxa"/>
          </w:tcPr>
          <w:p w14:paraId="27F50CAE" w14:textId="77777777" w:rsidR="002D3AEA" w:rsidRPr="003E4A53" w:rsidRDefault="002D3AEA" w:rsidP="003E4A53">
            <w:pPr>
              <w:jc w:val="center"/>
              <w:rPr>
                <w:rFonts w:asciiTheme="minorHAnsi" w:hAnsiTheme="minorHAnsi" w:cstheme="minorHAnsi"/>
                <w:b/>
                <w:bCs/>
                <w:color w:val="000000" w:themeColor="text1"/>
                <w:sz w:val="20"/>
                <w:szCs w:val="20"/>
              </w:rPr>
            </w:pPr>
            <w:r w:rsidRPr="003E4A53">
              <w:rPr>
                <w:rFonts w:asciiTheme="minorHAnsi" w:hAnsiTheme="minorHAnsi" w:cstheme="minorHAnsi"/>
                <w:b/>
                <w:bCs/>
                <w:color w:val="000000" w:themeColor="text1"/>
                <w:sz w:val="20"/>
                <w:szCs w:val="20"/>
              </w:rPr>
              <w:t>Legislation</w:t>
            </w:r>
          </w:p>
        </w:tc>
      </w:tr>
      <w:tr w:rsidR="002D3AEA" w:rsidRPr="00FE06B2" w14:paraId="77C42163" w14:textId="77777777" w:rsidTr="002D3AEA">
        <w:tc>
          <w:tcPr>
            <w:tcW w:w="9010" w:type="dxa"/>
          </w:tcPr>
          <w:p w14:paraId="49835F87" w14:textId="77777777" w:rsidR="002D3AEA" w:rsidRPr="00FE06B2" w:rsidRDefault="002D3AEA" w:rsidP="002D3AEA">
            <w:pPr>
              <w:rPr>
                <w:rFonts w:asciiTheme="minorHAnsi" w:hAnsiTheme="minorHAnsi" w:cstheme="minorHAnsi"/>
                <w:sz w:val="20"/>
                <w:szCs w:val="20"/>
              </w:rPr>
            </w:pPr>
            <w:r w:rsidRPr="00FE06B2">
              <w:rPr>
                <w:rFonts w:asciiTheme="minorHAnsi" w:hAnsiTheme="minorHAnsi" w:cstheme="minorHAnsi"/>
                <w:sz w:val="20"/>
                <w:szCs w:val="20"/>
              </w:rPr>
              <w:t xml:space="preserve">Mental Capacity Act Code of Practice. 2005. </w:t>
            </w:r>
            <w:hyperlink r:id="rId40" w:history="1">
              <w:r w:rsidRPr="00FE06B2">
                <w:rPr>
                  <w:rStyle w:val="Hyperlink"/>
                  <w:rFonts w:asciiTheme="minorHAnsi" w:hAnsiTheme="minorHAnsi" w:cstheme="minorHAnsi"/>
                  <w:sz w:val="20"/>
                  <w:szCs w:val="20"/>
                </w:rPr>
                <w:t>https://www.gov.uk/government/publications/mental-capacity-act-code-of-practice</w:t>
              </w:r>
            </w:hyperlink>
          </w:p>
          <w:p w14:paraId="4FF49FAD" w14:textId="77777777" w:rsidR="002D3AEA" w:rsidRPr="00FE06B2" w:rsidRDefault="002D3AEA" w:rsidP="002D3AEA">
            <w:pPr>
              <w:rPr>
                <w:rFonts w:asciiTheme="minorHAnsi" w:hAnsiTheme="minorHAnsi" w:cstheme="minorHAnsi"/>
                <w:sz w:val="20"/>
                <w:szCs w:val="20"/>
              </w:rPr>
            </w:pPr>
          </w:p>
          <w:p w14:paraId="1EBA9A74" w14:textId="175394CA" w:rsidR="002D3AEA" w:rsidRPr="00FE06B2" w:rsidRDefault="002D3AEA" w:rsidP="002D3AEA">
            <w:pPr>
              <w:rPr>
                <w:rFonts w:asciiTheme="minorHAnsi" w:hAnsiTheme="minorHAnsi" w:cstheme="minorHAnsi"/>
                <w:color w:val="000000" w:themeColor="text1"/>
                <w:sz w:val="20"/>
                <w:szCs w:val="20"/>
              </w:rPr>
            </w:pPr>
            <w:r w:rsidRPr="00FE06B2">
              <w:rPr>
                <w:rFonts w:asciiTheme="minorHAnsi" w:hAnsiTheme="minorHAnsi" w:cstheme="minorHAnsi"/>
                <w:sz w:val="20"/>
                <w:szCs w:val="20"/>
              </w:rPr>
              <w:t xml:space="preserve">The Children Act (2004) </w:t>
            </w:r>
            <w:hyperlink r:id="rId41" w:history="1">
              <w:r w:rsidR="00442DE4" w:rsidRPr="00442DE4">
                <w:rPr>
                  <w:rStyle w:val="Hyperlink"/>
                  <w:rFonts w:asciiTheme="minorHAnsi" w:eastAsiaTheme="majorEastAsia" w:hAnsiTheme="minorHAnsi" w:cstheme="minorHAnsi"/>
                  <w:sz w:val="20"/>
                  <w:szCs w:val="20"/>
                </w:rPr>
                <w:t>https://www.legislation.gov.uk/ukpga/2004/31/contents</w:t>
              </w:r>
            </w:hyperlink>
          </w:p>
        </w:tc>
      </w:tr>
    </w:tbl>
    <w:p w14:paraId="3A41DD95" w14:textId="77777777" w:rsidR="002D3AEA" w:rsidRPr="00FE06B2" w:rsidRDefault="002D3AEA" w:rsidP="002D3AEA">
      <w:pPr>
        <w:rPr>
          <w:rFonts w:asciiTheme="minorHAnsi" w:hAnsiTheme="minorHAnsi" w:cstheme="minorHAnsi"/>
          <w:color w:val="000000" w:themeColor="text1"/>
          <w:sz w:val="20"/>
          <w:szCs w:val="20"/>
        </w:rPr>
      </w:pPr>
    </w:p>
    <w:p w14:paraId="0BDE7878" w14:textId="77777777" w:rsidR="002D3AEA" w:rsidRPr="00FE06B2" w:rsidRDefault="002D3AEA" w:rsidP="002D3AEA">
      <w:pPr>
        <w:rPr>
          <w:rFonts w:asciiTheme="minorHAnsi" w:hAnsiTheme="minorHAnsi" w:cstheme="minorHAnsi"/>
          <w:color w:val="000000" w:themeColor="text1"/>
          <w:sz w:val="20"/>
          <w:szCs w:val="20"/>
        </w:rPr>
      </w:pPr>
    </w:p>
    <w:p w14:paraId="70C0572D" w14:textId="77777777" w:rsidR="002D3AEA" w:rsidRPr="00FE06B2" w:rsidRDefault="002D3AEA" w:rsidP="002D3AEA">
      <w:pPr>
        <w:rPr>
          <w:rFonts w:asciiTheme="minorHAnsi" w:hAnsiTheme="minorHAnsi" w:cstheme="minorHAnsi"/>
          <w:color w:val="000000" w:themeColor="text1"/>
          <w:sz w:val="20"/>
          <w:szCs w:val="20"/>
        </w:rPr>
      </w:pPr>
    </w:p>
    <w:tbl>
      <w:tblPr>
        <w:tblStyle w:val="TableGrid"/>
        <w:tblW w:w="0" w:type="auto"/>
        <w:tblLook w:val="04A0" w:firstRow="1" w:lastRow="0" w:firstColumn="1" w:lastColumn="0" w:noHBand="0" w:noVBand="1"/>
      </w:tblPr>
      <w:tblGrid>
        <w:gridCol w:w="9010"/>
      </w:tblGrid>
      <w:tr w:rsidR="002D3AEA" w:rsidRPr="00FE06B2" w14:paraId="4ED59293" w14:textId="77777777" w:rsidTr="002D3AEA">
        <w:tc>
          <w:tcPr>
            <w:tcW w:w="9010" w:type="dxa"/>
          </w:tcPr>
          <w:p w14:paraId="1DDD5369" w14:textId="77777777" w:rsidR="002D3AEA" w:rsidRPr="003E4A53" w:rsidRDefault="002D3AEA" w:rsidP="003E4A53">
            <w:pPr>
              <w:jc w:val="center"/>
              <w:rPr>
                <w:rFonts w:asciiTheme="minorHAnsi" w:hAnsiTheme="minorHAnsi" w:cstheme="minorHAnsi"/>
                <w:b/>
                <w:bCs/>
                <w:color w:val="000000" w:themeColor="text1"/>
                <w:sz w:val="20"/>
                <w:szCs w:val="20"/>
              </w:rPr>
            </w:pPr>
            <w:r w:rsidRPr="003E4A53">
              <w:rPr>
                <w:rFonts w:asciiTheme="minorHAnsi" w:hAnsiTheme="minorHAnsi" w:cstheme="minorHAnsi"/>
                <w:b/>
                <w:bCs/>
                <w:color w:val="000000" w:themeColor="text1"/>
                <w:sz w:val="20"/>
                <w:szCs w:val="20"/>
              </w:rPr>
              <w:t>Landmark Cases</w:t>
            </w:r>
          </w:p>
        </w:tc>
      </w:tr>
      <w:tr w:rsidR="002D3AEA" w:rsidRPr="00FE06B2" w14:paraId="32C2F6F9" w14:textId="77777777" w:rsidTr="002D3AEA">
        <w:tc>
          <w:tcPr>
            <w:tcW w:w="9010" w:type="dxa"/>
          </w:tcPr>
          <w:p w14:paraId="7264EA6A" w14:textId="77777777" w:rsidR="002D3AEA" w:rsidRPr="00FE06B2" w:rsidRDefault="002D3AEA" w:rsidP="002D3AEA">
            <w:pPr>
              <w:rPr>
                <w:rFonts w:asciiTheme="minorHAnsi" w:hAnsiTheme="minorHAnsi" w:cstheme="minorHAnsi"/>
                <w:color w:val="000000" w:themeColor="text1"/>
                <w:sz w:val="20"/>
                <w:szCs w:val="20"/>
              </w:rPr>
            </w:pPr>
          </w:p>
          <w:p w14:paraId="4F8CD4EA" w14:textId="77777777" w:rsidR="00E03C65" w:rsidRDefault="00E03C65" w:rsidP="00E03C65">
            <w:pPr>
              <w:rPr>
                <w:rStyle w:val="nlm-surname"/>
                <w:rFonts w:asciiTheme="minorHAnsi" w:hAnsiTheme="minorHAnsi" w:cstheme="minorHAnsi"/>
                <w:color w:val="333333"/>
                <w:sz w:val="20"/>
                <w:szCs w:val="20"/>
              </w:rPr>
            </w:pPr>
            <w:r>
              <w:rPr>
                <w:rStyle w:val="nlm-surname"/>
                <w:rFonts w:asciiTheme="minorHAnsi" w:hAnsiTheme="minorHAnsi" w:cstheme="minorHAnsi"/>
                <w:color w:val="333333"/>
                <w:sz w:val="20"/>
                <w:szCs w:val="20"/>
              </w:rPr>
              <w:t>Gillick v West Norfolk and Wisbech AHA [1985] UKHL 7</w:t>
            </w:r>
          </w:p>
          <w:p w14:paraId="68D0F2AA" w14:textId="77777777" w:rsidR="00E03C65" w:rsidRDefault="00E03C65" w:rsidP="00E03C65">
            <w:pPr>
              <w:rPr>
                <w:rStyle w:val="nlm-surname"/>
                <w:rFonts w:asciiTheme="minorHAnsi" w:hAnsiTheme="minorHAnsi" w:cstheme="minorHAnsi"/>
                <w:color w:val="333333"/>
                <w:sz w:val="20"/>
                <w:szCs w:val="20"/>
              </w:rPr>
            </w:pPr>
          </w:p>
          <w:p w14:paraId="2481DC9F" w14:textId="77777777" w:rsidR="002D3AEA" w:rsidRPr="00FE06B2" w:rsidRDefault="002D3AEA" w:rsidP="002D3AEA">
            <w:pPr>
              <w:rPr>
                <w:rFonts w:asciiTheme="minorHAnsi" w:hAnsiTheme="minorHAnsi" w:cstheme="minorHAnsi"/>
                <w:sz w:val="20"/>
                <w:szCs w:val="20"/>
              </w:rPr>
            </w:pPr>
            <w:r w:rsidRPr="00FE06B2">
              <w:rPr>
                <w:rFonts w:asciiTheme="minorHAnsi" w:hAnsiTheme="minorHAnsi" w:cstheme="minorHAnsi"/>
                <w:sz w:val="20"/>
                <w:szCs w:val="20"/>
              </w:rPr>
              <w:t xml:space="preserve">The Great Ormond Street hospital v Yates and Gard (2017). </w:t>
            </w:r>
            <w:hyperlink r:id="rId42" w:history="1">
              <w:r w:rsidRPr="00FE06B2">
                <w:rPr>
                  <w:rStyle w:val="Hyperlink"/>
                  <w:rFonts w:asciiTheme="minorHAnsi" w:hAnsiTheme="minorHAnsi" w:cstheme="minorHAnsi"/>
                  <w:sz w:val="20"/>
                  <w:szCs w:val="20"/>
                </w:rPr>
                <w:t>https://www.judiciary.uk/wp-content/uploads/2017/07/gosh-v-gard-24072017.pdf</w:t>
              </w:r>
            </w:hyperlink>
          </w:p>
          <w:p w14:paraId="6A96B5A2" w14:textId="77777777" w:rsidR="002D3AEA" w:rsidRPr="00FE06B2" w:rsidRDefault="002D3AEA" w:rsidP="002D3AEA">
            <w:pPr>
              <w:rPr>
                <w:rFonts w:asciiTheme="minorHAnsi" w:hAnsiTheme="minorHAnsi" w:cstheme="minorHAnsi"/>
                <w:color w:val="000000" w:themeColor="text1"/>
                <w:sz w:val="20"/>
                <w:szCs w:val="20"/>
              </w:rPr>
            </w:pPr>
          </w:p>
        </w:tc>
      </w:tr>
    </w:tbl>
    <w:p w14:paraId="0DD9E5B9" w14:textId="77777777" w:rsidR="002D3AEA" w:rsidRPr="00FE06B2" w:rsidRDefault="002D3AEA" w:rsidP="002D3AEA">
      <w:pPr>
        <w:pStyle w:val="NormalWeb"/>
        <w:rPr>
          <w:rFonts w:asciiTheme="minorHAnsi" w:hAnsiTheme="minorHAnsi" w:cstheme="minorHAnsi"/>
          <w:sz w:val="20"/>
          <w:szCs w:val="20"/>
        </w:rPr>
      </w:pPr>
    </w:p>
    <w:p w14:paraId="01AC4ECE" w14:textId="77777777" w:rsidR="0094787D" w:rsidRDefault="0094787D">
      <w:pPr>
        <w:rPr>
          <w:rFonts w:asciiTheme="minorHAnsi" w:hAnsiTheme="minorHAnsi" w:cstheme="minorHAnsi"/>
          <w:b/>
          <w:sz w:val="20"/>
          <w:szCs w:val="20"/>
        </w:rPr>
      </w:pPr>
      <w:r>
        <w:rPr>
          <w:rFonts w:asciiTheme="minorHAnsi" w:hAnsiTheme="minorHAnsi" w:cstheme="minorHAnsi"/>
          <w:b/>
          <w:sz w:val="20"/>
          <w:szCs w:val="20"/>
        </w:rPr>
        <w:br w:type="page"/>
      </w:r>
    </w:p>
    <w:p w14:paraId="7B4E93DD" w14:textId="0FF33E5E" w:rsidR="002D3AEA" w:rsidRPr="00FE06B2" w:rsidRDefault="005F5DA4" w:rsidP="005F5DA4">
      <w:pPr>
        <w:pStyle w:val="NormalWeb"/>
        <w:jc w:val="center"/>
        <w:rPr>
          <w:rFonts w:asciiTheme="minorHAnsi" w:hAnsiTheme="minorHAnsi" w:cstheme="minorHAnsi"/>
          <w:b/>
          <w:sz w:val="20"/>
          <w:szCs w:val="20"/>
        </w:rPr>
      </w:pPr>
      <w:r>
        <w:rPr>
          <w:rFonts w:asciiTheme="minorHAnsi" w:hAnsiTheme="minorHAnsi" w:cstheme="minorHAnsi"/>
          <w:b/>
          <w:sz w:val="20"/>
          <w:szCs w:val="20"/>
        </w:rPr>
        <w:t>MENTAL HEALTH</w:t>
      </w:r>
    </w:p>
    <w:p w14:paraId="108B8531" w14:textId="02DB669A" w:rsidR="002D3AEA" w:rsidRPr="00FE06B2" w:rsidRDefault="005F5DA4" w:rsidP="00657DAE">
      <w:pPr>
        <w:pStyle w:val="NormalWeb"/>
        <w:jc w:val="both"/>
        <w:rPr>
          <w:rFonts w:asciiTheme="minorHAnsi" w:hAnsiTheme="minorHAnsi" w:cstheme="minorHAnsi"/>
          <w:sz w:val="20"/>
          <w:szCs w:val="20"/>
        </w:rPr>
      </w:pPr>
      <w:r>
        <w:rPr>
          <w:rFonts w:asciiTheme="minorHAnsi" w:hAnsiTheme="minorHAnsi" w:cstheme="minorHAnsi"/>
          <w:sz w:val="20"/>
          <w:szCs w:val="20"/>
        </w:rPr>
        <w:t xml:space="preserve">Issues relating to mental health include discussion of capacity and diagnosis, the ethics and legality of involuntary capacity, and the need for parity between mental health and physical health.  </w:t>
      </w:r>
    </w:p>
    <w:p w14:paraId="53815EAC" w14:textId="2D96B777" w:rsidR="002D3AEA" w:rsidRPr="00FE06B2" w:rsidRDefault="002D3AEA" w:rsidP="00657DAE">
      <w:pPr>
        <w:pStyle w:val="NormalWeb"/>
        <w:jc w:val="both"/>
        <w:rPr>
          <w:rFonts w:asciiTheme="minorHAnsi" w:hAnsiTheme="minorHAnsi" w:cstheme="minorHAnsi"/>
          <w:color w:val="FFFFFF"/>
          <w:sz w:val="20"/>
          <w:szCs w:val="20"/>
        </w:rPr>
      </w:pPr>
      <w:r w:rsidRPr="00FE06B2">
        <w:rPr>
          <w:rFonts w:asciiTheme="minorHAnsi" w:hAnsiTheme="minorHAnsi" w:cstheme="minorHAnsi"/>
          <w:sz w:val="20"/>
          <w:szCs w:val="20"/>
        </w:rPr>
        <w:t xml:space="preserve">You may want to consider </w:t>
      </w:r>
      <w:r w:rsidR="005F5DA4">
        <w:rPr>
          <w:rFonts w:asciiTheme="minorHAnsi" w:hAnsiTheme="minorHAnsi" w:cstheme="minorHAnsi"/>
          <w:sz w:val="20"/>
          <w:szCs w:val="20"/>
        </w:rPr>
        <w:t xml:space="preserve">equality and diversity issues, and tackling stigma towards people with mental health issues.  You might also want to explore </w:t>
      </w:r>
      <w:r w:rsidRPr="00FE06B2">
        <w:rPr>
          <w:rFonts w:asciiTheme="minorHAnsi" w:hAnsiTheme="minorHAnsi" w:cstheme="minorHAnsi"/>
          <w:sz w:val="20"/>
          <w:szCs w:val="20"/>
        </w:rPr>
        <w:t xml:space="preserve">how culture </w:t>
      </w:r>
      <w:r w:rsidR="005F5DA4">
        <w:rPr>
          <w:rFonts w:asciiTheme="minorHAnsi" w:hAnsiTheme="minorHAnsi" w:cstheme="minorHAnsi"/>
          <w:sz w:val="20"/>
          <w:szCs w:val="20"/>
        </w:rPr>
        <w:t>impacts on diagnosis and provision of mental health including issues of diversity and over-representation of BAME in secure mental health services.</w:t>
      </w:r>
      <w:r w:rsidRPr="00FE06B2">
        <w:rPr>
          <w:rFonts w:asciiTheme="minorHAnsi" w:hAnsiTheme="minorHAnsi" w:cstheme="minorHAnsi"/>
          <w:sz w:val="20"/>
          <w:szCs w:val="20"/>
        </w:rPr>
        <w:t xml:space="preserve"> </w:t>
      </w:r>
    </w:p>
    <w:p w14:paraId="0C441E0B" w14:textId="274F4A1B" w:rsidR="005F5DA4" w:rsidRDefault="005F5DA4" w:rsidP="00657DAE">
      <w:pPr>
        <w:pStyle w:val="NormalWeb"/>
        <w:jc w:val="both"/>
        <w:rPr>
          <w:rFonts w:asciiTheme="minorHAnsi" w:hAnsiTheme="minorHAnsi" w:cstheme="minorHAnsi"/>
          <w:sz w:val="20"/>
          <w:szCs w:val="20"/>
        </w:rPr>
      </w:pPr>
      <w:r>
        <w:rPr>
          <w:rFonts w:asciiTheme="minorHAnsi" w:hAnsiTheme="minorHAnsi" w:cstheme="minorHAnsi"/>
          <w:sz w:val="20"/>
          <w:szCs w:val="20"/>
        </w:rPr>
        <w:t>You might also want to consider liberty safeguards in relation to adults with dementias, and also the use of Advance Directives in Mental Health (including long-term conditions, such as anorexia nervosa).</w:t>
      </w:r>
    </w:p>
    <w:p w14:paraId="2519DD54" w14:textId="19A46649" w:rsidR="002D3AEA" w:rsidRPr="00FE06B2" w:rsidRDefault="002D3AEA" w:rsidP="00657DAE">
      <w:pPr>
        <w:pStyle w:val="NormalWeb"/>
        <w:jc w:val="both"/>
        <w:rPr>
          <w:rFonts w:asciiTheme="minorHAnsi" w:hAnsiTheme="minorHAnsi" w:cstheme="minorHAnsi"/>
          <w:sz w:val="20"/>
          <w:szCs w:val="20"/>
        </w:rPr>
      </w:pPr>
      <w:r w:rsidRPr="00FE06B2">
        <w:rPr>
          <w:rFonts w:asciiTheme="minorHAnsi" w:hAnsiTheme="minorHAnsi" w:cstheme="minorHAnsi"/>
          <w:sz w:val="20"/>
          <w:szCs w:val="20"/>
        </w:rPr>
        <w:t xml:space="preserve">Key legislation you should incorporate into this area of the curriculum include the Mental Health Act, the Mental Capacity Act, The Equality </w:t>
      </w:r>
      <w:r w:rsidR="005F5DA4">
        <w:rPr>
          <w:rFonts w:asciiTheme="minorHAnsi" w:hAnsiTheme="minorHAnsi" w:cstheme="minorHAnsi"/>
          <w:sz w:val="20"/>
          <w:szCs w:val="20"/>
        </w:rPr>
        <w:t>A</w:t>
      </w:r>
      <w:r w:rsidRPr="00FE06B2">
        <w:rPr>
          <w:rFonts w:asciiTheme="minorHAnsi" w:hAnsiTheme="minorHAnsi" w:cstheme="minorHAnsi"/>
          <w:sz w:val="20"/>
          <w:szCs w:val="20"/>
        </w:rPr>
        <w:t xml:space="preserve">ct and the Human Rights Act. </w:t>
      </w:r>
      <w:r w:rsidR="005F5DA4">
        <w:rPr>
          <w:rFonts w:asciiTheme="minorHAnsi" w:hAnsiTheme="minorHAnsi" w:cstheme="minorHAnsi"/>
          <w:sz w:val="20"/>
          <w:szCs w:val="20"/>
        </w:rPr>
        <w:t xml:space="preserve"> I</w:t>
      </w:r>
      <w:r w:rsidRPr="00FE06B2">
        <w:rPr>
          <w:rFonts w:asciiTheme="minorHAnsi" w:hAnsiTheme="minorHAnsi" w:cstheme="minorHAnsi"/>
          <w:sz w:val="20"/>
          <w:szCs w:val="20"/>
        </w:rPr>
        <w:t>t is important to consider regional variations in legislation</w:t>
      </w:r>
      <w:r w:rsidR="005F5DA4">
        <w:rPr>
          <w:rFonts w:asciiTheme="minorHAnsi" w:hAnsiTheme="minorHAnsi" w:cstheme="minorHAnsi"/>
          <w:sz w:val="20"/>
          <w:szCs w:val="20"/>
        </w:rPr>
        <w:t xml:space="preserve"> across the UK</w:t>
      </w:r>
      <w:r w:rsidRPr="00FE06B2">
        <w:rPr>
          <w:rFonts w:asciiTheme="minorHAnsi" w:hAnsiTheme="minorHAnsi" w:cstheme="minorHAnsi"/>
          <w:sz w:val="20"/>
          <w:szCs w:val="20"/>
        </w:rPr>
        <w:t xml:space="preserve">. </w:t>
      </w:r>
    </w:p>
    <w:p w14:paraId="6C4CA81E" w14:textId="77777777" w:rsidR="002D3AEA" w:rsidRPr="00FE06B2" w:rsidRDefault="002D3AEA" w:rsidP="002D3AEA">
      <w:pPr>
        <w:rPr>
          <w:rFonts w:asciiTheme="minorHAnsi" w:hAnsiTheme="minorHAnsi" w:cstheme="minorHAnsi"/>
          <w:color w:val="000000" w:themeColor="text1"/>
          <w:sz w:val="20"/>
          <w:szCs w:val="20"/>
        </w:rPr>
      </w:pPr>
    </w:p>
    <w:tbl>
      <w:tblPr>
        <w:tblStyle w:val="TableGrid"/>
        <w:tblW w:w="0" w:type="auto"/>
        <w:tblLook w:val="04A0" w:firstRow="1" w:lastRow="0" w:firstColumn="1" w:lastColumn="0" w:noHBand="0" w:noVBand="1"/>
      </w:tblPr>
      <w:tblGrid>
        <w:gridCol w:w="9010"/>
      </w:tblGrid>
      <w:tr w:rsidR="002D3AEA" w:rsidRPr="00FE06B2" w14:paraId="018C217A" w14:textId="77777777" w:rsidTr="002D3AEA">
        <w:tc>
          <w:tcPr>
            <w:tcW w:w="9010" w:type="dxa"/>
          </w:tcPr>
          <w:p w14:paraId="143D08B2" w14:textId="6D0C0201" w:rsidR="002D3AEA" w:rsidRDefault="003E4A53" w:rsidP="003E4A53">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 xml:space="preserve">Useful </w:t>
            </w:r>
            <w:r w:rsidR="002D3AEA" w:rsidRPr="005F5DA4">
              <w:rPr>
                <w:rFonts w:asciiTheme="minorHAnsi" w:hAnsiTheme="minorHAnsi" w:cstheme="minorHAnsi"/>
                <w:b/>
                <w:bCs/>
                <w:color w:val="000000" w:themeColor="text1"/>
                <w:sz w:val="20"/>
                <w:szCs w:val="20"/>
              </w:rPr>
              <w:t>Resources</w:t>
            </w:r>
          </w:p>
          <w:p w14:paraId="53DA8779" w14:textId="52F4CBD8" w:rsidR="005F5DA4" w:rsidRPr="005F5DA4" w:rsidRDefault="005F5DA4" w:rsidP="002D3AEA">
            <w:pPr>
              <w:rPr>
                <w:rFonts w:asciiTheme="minorHAnsi" w:hAnsiTheme="minorHAnsi" w:cstheme="minorHAnsi"/>
                <w:b/>
                <w:bCs/>
                <w:color w:val="000000" w:themeColor="text1"/>
                <w:sz w:val="20"/>
                <w:szCs w:val="20"/>
              </w:rPr>
            </w:pPr>
          </w:p>
        </w:tc>
      </w:tr>
      <w:tr w:rsidR="002D3AEA" w:rsidRPr="00FE06B2" w14:paraId="7E7B379B" w14:textId="77777777" w:rsidTr="002D3AEA">
        <w:tc>
          <w:tcPr>
            <w:tcW w:w="9010" w:type="dxa"/>
          </w:tcPr>
          <w:p w14:paraId="77ECE3BD" w14:textId="77777777" w:rsidR="002D3AEA" w:rsidRPr="00FE06B2" w:rsidRDefault="002D3AEA" w:rsidP="002D3AEA">
            <w:pPr>
              <w:pStyle w:val="Heading1"/>
              <w:spacing w:after="120" w:line="324" w:lineRule="atLeast"/>
              <w:outlineLvl w:val="0"/>
              <w:rPr>
                <w:rFonts w:asciiTheme="minorHAnsi" w:hAnsiTheme="minorHAnsi" w:cstheme="minorHAnsi"/>
                <w:color w:val="000000" w:themeColor="text1"/>
                <w:sz w:val="20"/>
                <w:szCs w:val="20"/>
              </w:rPr>
            </w:pPr>
            <w:proofErr w:type="spellStart"/>
            <w:r w:rsidRPr="00FE06B2">
              <w:rPr>
                <w:rFonts w:asciiTheme="minorHAnsi" w:hAnsiTheme="minorHAnsi" w:cstheme="minorHAnsi"/>
                <w:color w:val="000000"/>
                <w:sz w:val="20"/>
                <w:szCs w:val="20"/>
              </w:rPr>
              <w:t>Ngui</w:t>
            </w:r>
            <w:proofErr w:type="spellEnd"/>
            <w:r w:rsidRPr="00FE06B2">
              <w:rPr>
                <w:rFonts w:asciiTheme="minorHAnsi" w:hAnsiTheme="minorHAnsi" w:cstheme="minorHAnsi"/>
                <w:color w:val="000000"/>
                <w:sz w:val="20"/>
                <w:szCs w:val="20"/>
              </w:rPr>
              <w:t xml:space="preserve">, E.M., </w:t>
            </w:r>
            <w:proofErr w:type="spellStart"/>
            <w:r w:rsidRPr="00FE06B2">
              <w:rPr>
                <w:rFonts w:asciiTheme="minorHAnsi" w:hAnsiTheme="minorHAnsi" w:cstheme="minorHAnsi"/>
                <w:color w:val="000000"/>
                <w:sz w:val="20"/>
                <w:szCs w:val="20"/>
              </w:rPr>
              <w:t>Khasakhala</w:t>
            </w:r>
            <w:proofErr w:type="spellEnd"/>
            <w:r w:rsidRPr="00FE06B2">
              <w:rPr>
                <w:rFonts w:asciiTheme="minorHAnsi" w:hAnsiTheme="minorHAnsi" w:cstheme="minorHAnsi"/>
                <w:color w:val="000000"/>
                <w:sz w:val="20"/>
                <w:szCs w:val="20"/>
              </w:rPr>
              <w:t xml:space="preserve">, L., </w:t>
            </w:r>
            <w:proofErr w:type="spellStart"/>
            <w:r w:rsidRPr="00FE06B2">
              <w:rPr>
                <w:rFonts w:asciiTheme="minorHAnsi" w:hAnsiTheme="minorHAnsi" w:cstheme="minorHAnsi"/>
                <w:color w:val="000000"/>
                <w:sz w:val="20"/>
                <w:szCs w:val="20"/>
              </w:rPr>
              <w:t>Ndetei</w:t>
            </w:r>
            <w:proofErr w:type="spellEnd"/>
            <w:r w:rsidRPr="00FE06B2">
              <w:rPr>
                <w:rFonts w:asciiTheme="minorHAnsi" w:hAnsiTheme="minorHAnsi" w:cstheme="minorHAnsi"/>
                <w:color w:val="000000"/>
                <w:sz w:val="20"/>
                <w:szCs w:val="20"/>
              </w:rPr>
              <w:t xml:space="preserve">, D., Roberts, L.W. (2010). Mental disorders, health inequalities and ethics: A global perspective. Int Rev Psychiatry., 22(3), 235-44. </w:t>
            </w:r>
          </w:p>
          <w:p w14:paraId="037C5163" w14:textId="589F9AB5" w:rsidR="002D3AEA" w:rsidRPr="00FE06B2" w:rsidRDefault="002D3AEA" w:rsidP="002D3AEA">
            <w:pPr>
              <w:pStyle w:val="NormalWeb"/>
              <w:rPr>
                <w:rFonts w:asciiTheme="minorHAnsi" w:hAnsiTheme="minorHAnsi" w:cstheme="minorHAnsi"/>
                <w:sz w:val="20"/>
                <w:szCs w:val="20"/>
              </w:rPr>
            </w:pPr>
            <w:r w:rsidRPr="00FE06B2">
              <w:rPr>
                <w:rFonts w:asciiTheme="minorHAnsi" w:hAnsiTheme="minorHAnsi" w:cstheme="minorHAnsi"/>
                <w:sz w:val="20"/>
                <w:szCs w:val="20"/>
              </w:rPr>
              <w:t xml:space="preserve">Hoop, </w:t>
            </w:r>
            <w:r w:rsidR="00E03C65">
              <w:rPr>
                <w:rFonts w:asciiTheme="minorHAnsi" w:hAnsiTheme="minorHAnsi" w:cstheme="minorHAnsi"/>
                <w:sz w:val="20"/>
                <w:szCs w:val="20"/>
              </w:rPr>
              <w:t xml:space="preserve">J.G. </w:t>
            </w:r>
            <w:r w:rsidRPr="00FE06B2">
              <w:rPr>
                <w:rFonts w:asciiTheme="minorHAnsi" w:hAnsiTheme="minorHAnsi" w:cstheme="minorHAnsi"/>
                <w:sz w:val="20"/>
                <w:szCs w:val="20"/>
              </w:rPr>
              <w:t>DiPasquale</w:t>
            </w:r>
            <w:r w:rsidR="00E03C65">
              <w:rPr>
                <w:rFonts w:asciiTheme="minorHAnsi" w:hAnsiTheme="minorHAnsi" w:cstheme="minorHAnsi"/>
                <w:sz w:val="20"/>
                <w:szCs w:val="20"/>
              </w:rPr>
              <w:t>, T.</w:t>
            </w:r>
            <w:r w:rsidRPr="00FE06B2">
              <w:rPr>
                <w:rFonts w:asciiTheme="minorHAnsi" w:hAnsiTheme="minorHAnsi" w:cstheme="minorHAnsi"/>
                <w:sz w:val="20"/>
                <w:szCs w:val="20"/>
              </w:rPr>
              <w:t>, Hernandez</w:t>
            </w:r>
            <w:r w:rsidR="00E03C65">
              <w:rPr>
                <w:rFonts w:asciiTheme="minorHAnsi" w:hAnsiTheme="minorHAnsi" w:cstheme="minorHAnsi"/>
                <w:sz w:val="20"/>
                <w:szCs w:val="20"/>
              </w:rPr>
              <w:t xml:space="preserve">, J.M. and </w:t>
            </w:r>
            <w:r w:rsidRPr="00FE06B2">
              <w:rPr>
                <w:rFonts w:asciiTheme="minorHAnsi" w:hAnsiTheme="minorHAnsi" w:cstheme="minorHAnsi"/>
                <w:sz w:val="20"/>
                <w:szCs w:val="20"/>
              </w:rPr>
              <w:t>Roberts</w:t>
            </w:r>
            <w:r w:rsidR="00E03C65">
              <w:rPr>
                <w:rFonts w:asciiTheme="minorHAnsi" w:hAnsiTheme="minorHAnsi" w:cstheme="minorHAnsi"/>
                <w:sz w:val="20"/>
                <w:szCs w:val="20"/>
              </w:rPr>
              <w:t>, L.W.</w:t>
            </w:r>
            <w:r w:rsidRPr="00FE06B2">
              <w:rPr>
                <w:rFonts w:asciiTheme="minorHAnsi" w:hAnsiTheme="minorHAnsi" w:cstheme="minorHAnsi"/>
                <w:sz w:val="20"/>
                <w:szCs w:val="20"/>
              </w:rPr>
              <w:t xml:space="preserve"> (2008) Ethics and Culture in Mental Health Care, E</w:t>
            </w:r>
            <w:r w:rsidR="00E03C65">
              <w:rPr>
                <w:rFonts w:asciiTheme="minorHAnsi" w:hAnsiTheme="minorHAnsi" w:cstheme="minorHAnsi"/>
                <w:sz w:val="20"/>
                <w:szCs w:val="20"/>
              </w:rPr>
              <w:t>thics and Behaviour</w:t>
            </w:r>
            <w:r w:rsidRPr="00FE06B2">
              <w:rPr>
                <w:rFonts w:asciiTheme="minorHAnsi" w:hAnsiTheme="minorHAnsi" w:cstheme="minorHAnsi"/>
                <w:sz w:val="20"/>
                <w:szCs w:val="20"/>
              </w:rPr>
              <w:t xml:space="preserve">, 18:4, 353-372, DOI: 10.1080/10508420701713048 </w:t>
            </w:r>
          </w:p>
          <w:p w14:paraId="534AFA90" w14:textId="77777777" w:rsidR="002D3AEA" w:rsidRPr="00FE06B2" w:rsidRDefault="002D3AEA" w:rsidP="002D3AEA">
            <w:pPr>
              <w:rPr>
                <w:rFonts w:asciiTheme="minorHAnsi" w:hAnsiTheme="minorHAnsi" w:cstheme="minorHAnsi"/>
                <w:color w:val="000000" w:themeColor="text1"/>
                <w:sz w:val="20"/>
                <w:szCs w:val="20"/>
              </w:rPr>
            </w:pPr>
          </w:p>
        </w:tc>
      </w:tr>
    </w:tbl>
    <w:p w14:paraId="58113895" w14:textId="77777777" w:rsidR="002D3AEA" w:rsidRPr="00FE06B2" w:rsidRDefault="002D3AEA" w:rsidP="002D3AEA">
      <w:pPr>
        <w:rPr>
          <w:rFonts w:asciiTheme="minorHAnsi" w:hAnsiTheme="minorHAnsi" w:cstheme="minorHAnsi"/>
          <w:color w:val="000000" w:themeColor="text1"/>
          <w:sz w:val="20"/>
          <w:szCs w:val="20"/>
        </w:rPr>
      </w:pPr>
    </w:p>
    <w:tbl>
      <w:tblPr>
        <w:tblStyle w:val="TableGrid"/>
        <w:tblW w:w="0" w:type="auto"/>
        <w:tblLook w:val="04A0" w:firstRow="1" w:lastRow="0" w:firstColumn="1" w:lastColumn="0" w:noHBand="0" w:noVBand="1"/>
      </w:tblPr>
      <w:tblGrid>
        <w:gridCol w:w="9010"/>
      </w:tblGrid>
      <w:tr w:rsidR="002D3AEA" w:rsidRPr="00FE06B2" w14:paraId="54DD3D3F" w14:textId="77777777" w:rsidTr="002D3AEA">
        <w:tc>
          <w:tcPr>
            <w:tcW w:w="9010" w:type="dxa"/>
          </w:tcPr>
          <w:p w14:paraId="27B48EF6" w14:textId="117971EE" w:rsidR="002D3AEA" w:rsidRPr="003E4A53" w:rsidRDefault="002D3AEA" w:rsidP="003E4A53">
            <w:pPr>
              <w:jc w:val="center"/>
              <w:rPr>
                <w:rFonts w:asciiTheme="minorHAnsi" w:hAnsiTheme="minorHAnsi" w:cstheme="minorHAnsi"/>
                <w:b/>
                <w:bCs/>
                <w:color w:val="000000" w:themeColor="text1"/>
                <w:sz w:val="20"/>
                <w:szCs w:val="20"/>
              </w:rPr>
            </w:pPr>
            <w:r w:rsidRPr="003E4A53">
              <w:rPr>
                <w:rFonts w:asciiTheme="minorHAnsi" w:hAnsiTheme="minorHAnsi" w:cstheme="minorHAnsi"/>
                <w:b/>
                <w:bCs/>
                <w:color w:val="000000" w:themeColor="text1"/>
                <w:sz w:val="20"/>
                <w:szCs w:val="20"/>
              </w:rPr>
              <w:t>Legislation</w:t>
            </w:r>
            <w:r w:rsidR="000D5062">
              <w:rPr>
                <w:rFonts w:asciiTheme="minorHAnsi" w:hAnsiTheme="minorHAnsi" w:cstheme="minorHAnsi"/>
                <w:b/>
                <w:bCs/>
                <w:color w:val="000000" w:themeColor="text1"/>
                <w:sz w:val="20"/>
                <w:szCs w:val="20"/>
              </w:rPr>
              <w:t xml:space="preserve"> and </w:t>
            </w:r>
            <w:r w:rsidR="000D5062" w:rsidRPr="003E4A53">
              <w:rPr>
                <w:rFonts w:asciiTheme="minorHAnsi" w:hAnsiTheme="minorHAnsi" w:cstheme="minorHAnsi"/>
                <w:b/>
                <w:bCs/>
                <w:color w:val="000000" w:themeColor="text1"/>
                <w:sz w:val="20"/>
                <w:szCs w:val="20"/>
              </w:rPr>
              <w:t>Landmark Cases</w:t>
            </w:r>
          </w:p>
        </w:tc>
      </w:tr>
      <w:tr w:rsidR="002D3AEA" w:rsidRPr="00FE06B2" w14:paraId="346FC186" w14:textId="77777777" w:rsidTr="002D3AEA">
        <w:tc>
          <w:tcPr>
            <w:tcW w:w="9010" w:type="dxa"/>
          </w:tcPr>
          <w:p w14:paraId="46837779" w14:textId="77777777" w:rsidR="002D3AEA" w:rsidRPr="00FE06B2" w:rsidRDefault="002D3AEA" w:rsidP="002D3AEA">
            <w:pPr>
              <w:rPr>
                <w:rFonts w:asciiTheme="minorHAnsi" w:hAnsiTheme="minorHAnsi" w:cstheme="minorHAnsi"/>
                <w:color w:val="000000" w:themeColor="text1"/>
                <w:sz w:val="20"/>
                <w:szCs w:val="20"/>
              </w:rPr>
            </w:pPr>
          </w:p>
          <w:p w14:paraId="3C8B31C7" w14:textId="77777777" w:rsidR="002D3AEA" w:rsidRPr="00FE06B2" w:rsidRDefault="002D3AEA" w:rsidP="002D3AEA">
            <w:pPr>
              <w:rPr>
                <w:rFonts w:asciiTheme="minorHAnsi" w:hAnsiTheme="minorHAnsi" w:cstheme="minorHAnsi"/>
                <w:sz w:val="20"/>
                <w:szCs w:val="20"/>
              </w:rPr>
            </w:pPr>
            <w:r w:rsidRPr="00FE06B2">
              <w:rPr>
                <w:rFonts w:asciiTheme="minorHAnsi" w:hAnsiTheme="minorHAnsi" w:cstheme="minorHAnsi"/>
                <w:sz w:val="20"/>
                <w:szCs w:val="20"/>
              </w:rPr>
              <w:t xml:space="preserve">Mental Capacity Act Code of Practice. 2005. </w:t>
            </w:r>
            <w:hyperlink r:id="rId43" w:history="1">
              <w:r w:rsidRPr="00FE06B2">
                <w:rPr>
                  <w:rStyle w:val="Hyperlink"/>
                  <w:rFonts w:asciiTheme="minorHAnsi" w:hAnsiTheme="minorHAnsi" w:cstheme="minorHAnsi"/>
                  <w:sz w:val="20"/>
                  <w:szCs w:val="20"/>
                </w:rPr>
                <w:t>https://www.gov.uk/government/publications/mental-capacity-act-code-of-practice</w:t>
              </w:r>
            </w:hyperlink>
          </w:p>
          <w:p w14:paraId="43016A72" w14:textId="77777777" w:rsidR="002D3AEA" w:rsidRPr="00FE06B2" w:rsidRDefault="002D3AEA" w:rsidP="002D3AEA">
            <w:pPr>
              <w:rPr>
                <w:rFonts w:asciiTheme="minorHAnsi" w:hAnsiTheme="minorHAnsi" w:cstheme="minorHAnsi"/>
                <w:color w:val="000000" w:themeColor="text1"/>
                <w:sz w:val="20"/>
                <w:szCs w:val="20"/>
              </w:rPr>
            </w:pPr>
          </w:p>
          <w:p w14:paraId="285D785F" w14:textId="3223DB52" w:rsidR="002D3AEA" w:rsidRDefault="002D3AEA" w:rsidP="002D3AEA">
            <w:pPr>
              <w:rPr>
                <w:rFonts w:asciiTheme="minorHAnsi" w:hAnsiTheme="minorHAnsi" w:cstheme="minorHAnsi"/>
                <w:sz w:val="20"/>
                <w:szCs w:val="20"/>
              </w:rPr>
            </w:pPr>
            <w:r w:rsidRPr="00FE06B2">
              <w:rPr>
                <w:rFonts w:asciiTheme="minorHAnsi" w:hAnsiTheme="minorHAnsi" w:cstheme="minorHAnsi"/>
                <w:color w:val="000000" w:themeColor="text1"/>
                <w:sz w:val="20"/>
                <w:szCs w:val="20"/>
              </w:rPr>
              <w:t xml:space="preserve">New Mental Health Act </w:t>
            </w:r>
            <w:r w:rsidR="009377F0">
              <w:rPr>
                <w:rFonts w:asciiTheme="minorHAnsi" w:hAnsiTheme="minorHAnsi" w:cstheme="minorHAnsi"/>
                <w:color w:val="000000" w:themeColor="text1"/>
                <w:sz w:val="20"/>
                <w:szCs w:val="20"/>
              </w:rPr>
              <w:t>C</w:t>
            </w:r>
            <w:r w:rsidRPr="00FE06B2">
              <w:rPr>
                <w:rFonts w:asciiTheme="minorHAnsi" w:hAnsiTheme="minorHAnsi" w:cstheme="minorHAnsi"/>
                <w:color w:val="000000" w:themeColor="text1"/>
                <w:sz w:val="20"/>
                <w:szCs w:val="20"/>
              </w:rPr>
              <w:t xml:space="preserve">ode of </w:t>
            </w:r>
            <w:r w:rsidR="009377F0">
              <w:rPr>
                <w:rFonts w:asciiTheme="minorHAnsi" w:hAnsiTheme="minorHAnsi" w:cstheme="minorHAnsi"/>
                <w:color w:val="000000" w:themeColor="text1"/>
                <w:sz w:val="20"/>
                <w:szCs w:val="20"/>
              </w:rPr>
              <w:t>P</w:t>
            </w:r>
            <w:r w:rsidRPr="00FE06B2">
              <w:rPr>
                <w:rFonts w:asciiTheme="minorHAnsi" w:hAnsiTheme="minorHAnsi" w:cstheme="minorHAnsi"/>
                <w:color w:val="000000" w:themeColor="text1"/>
                <w:sz w:val="20"/>
                <w:szCs w:val="20"/>
              </w:rPr>
              <w:t xml:space="preserve">ractice. </w:t>
            </w:r>
            <w:hyperlink r:id="rId44" w:history="1">
              <w:r w:rsidR="009377F0" w:rsidRPr="001D44F1">
                <w:rPr>
                  <w:rStyle w:val="Hyperlink"/>
                  <w:rFonts w:asciiTheme="minorHAnsi" w:hAnsiTheme="minorHAnsi" w:cstheme="minorHAnsi"/>
                  <w:sz w:val="20"/>
                  <w:szCs w:val="20"/>
                </w:rPr>
                <w:t>https://www.gov.uk/government/news/new-mental-health-act-code-of-practice. 1983. Revised 2005</w:t>
              </w:r>
            </w:hyperlink>
          </w:p>
          <w:p w14:paraId="24A19E79" w14:textId="77777777" w:rsidR="009377F0" w:rsidRDefault="009377F0" w:rsidP="002D3AEA">
            <w:pPr>
              <w:rPr>
                <w:rFonts w:asciiTheme="minorHAnsi" w:hAnsiTheme="minorHAnsi" w:cstheme="minorHAnsi"/>
                <w:color w:val="000000" w:themeColor="text1"/>
                <w:sz w:val="20"/>
                <w:szCs w:val="20"/>
              </w:rPr>
            </w:pPr>
          </w:p>
          <w:p w14:paraId="30663A34" w14:textId="04CCDEB3" w:rsidR="002D3AEA" w:rsidRDefault="009377F0" w:rsidP="009377F0">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Mental Capacity (Amendment) Act 2019</w:t>
            </w:r>
          </w:p>
          <w:p w14:paraId="1F70E9E1" w14:textId="77777777" w:rsidR="00F62F04" w:rsidRDefault="00F62F04" w:rsidP="00F62F04">
            <w:pPr>
              <w:rPr>
                <w:rFonts w:asciiTheme="minorHAnsi" w:hAnsiTheme="minorHAnsi" w:cstheme="minorHAnsi"/>
                <w:color w:val="000000" w:themeColor="text1"/>
                <w:sz w:val="20"/>
                <w:szCs w:val="20"/>
              </w:rPr>
            </w:pPr>
          </w:p>
          <w:p w14:paraId="7B70F5EE" w14:textId="79251A5A" w:rsidR="00F62F04" w:rsidRDefault="00F62F04" w:rsidP="00F62F04">
            <w:pPr>
              <w:rPr>
                <w:rFonts w:asciiTheme="minorHAnsi" w:hAnsiTheme="minorHAnsi" w:cstheme="minorHAnsi"/>
                <w:color w:val="000000" w:themeColor="text1"/>
                <w:sz w:val="20"/>
                <w:szCs w:val="20"/>
              </w:rPr>
            </w:pPr>
            <w:r w:rsidRPr="00FE06B2">
              <w:rPr>
                <w:rFonts w:asciiTheme="minorHAnsi" w:hAnsiTheme="minorHAnsi" w:cstheme="minorHAnsi"/>
                <w:color w:val="000000" w:themeColor="text1"/>
                <w:sz w:val="20"/>
                <w:szCs w:val="20"/>
              </w:rPr>
              <w:t xml:space="preserve">R v </w:t>
            </w:r>
            <w:proofErr w:type="spellStart"/>
            <w:r w:rsidRPr="00FE06B2">
              <w:rPr>
                <w:rFonts w:asciiTheme="minorHAnsi" w:hAnsiTheme="minorHAnsi" w:cstheme="minorHAnsi"/>
                <w:color w:val="000000" w:themeColor="text1"/>
                <w:sz w:val="20"/>
                <w:szCs w:val="20"/>
              </w:rPr>
              <w:t>Bournewood</w:t>
            </w:r>
            <w:proofErr w:type="spellEnd"/>
            <w:r w:rsidRPr="00FE06B2">
              <w:rPr>
                <w:rFonts w:asciiTheme="minorHAnsi" w:hAnsiTheme="minorHAnsi" w:cstheme="minorHAnsi"/>
                <w:color w:val="000000" w:themeColor="text1"/>
                <w:sz w:val="20"/>
                <w:szCs w:val="20"/>
              </w:rPr>
              <w:t xml:space="preserve"> community and mental health trust (1998)</w:t>
            </w:r>
            <w:r>
              <w:rPr>
                <w:rFonts w:asciiTheme="minorHAnsi" w:hAnsiTheme="minorHAnsi" w:cstheme="minorHAnsi"/>
                <w:color w:val="000000" w:themeColor="text1"/>
                <w:sz w:val="20"/>
                <w:szCs w:val="20"/>
              </w:rPr>
              <w:t xml:space="preserve"> </w:t>
            </w:r>
          </w:p>
          <w:p w14:paraId="3797AF8F" w14:textId="77777777" w:rsidR="00F62F04" w:rsidRDefault="00F62F04" w:rsidP="00F62F04">
            <w:pPr>
              <w:rPr>
                <w:rFonts w:asciiTheme="minorHAnsi" w:hAnsiTheme="minorHAnsi" w:cstheme="minorHAnsi"/>
                <w:color w:val="000000" w:themeColor="text1"/>
                <w:sz w:val="20"/>
                <w:szCs w:val="20"/>
              </w:rPr>
            </w:pPr>
          </w:p>
          <w:p w14:paraId="5136E3C7" w14:textId="77777777" w:rsidR="00F62F04" w:rsidRPr="009377F0" w:rsidRDefault="00F62F04" w:rsidP="00F62F04">
            <w:pPr>
              <w:rPr>
                <w:rFonts w:asciiTheme="minorHAnsi" w:hAnsiTheme="minorHAnsi" w:cstheme="minorHAnsi"/>
                <w:color w:val="000000" w:themeColor="text1"/>
                <w:sz w:val="20"/>
                <w:szCs w:val="20"/>
              </w:rPr>
            </w:pPr>
            <w:r w:rsidRPr="009377F0">
              <w:rPr>
                <w:rFonts w:asciiTheme="minorHAnsi" w:hAnsiTheme="minorHAnsi" w:cstheme="minorHAnsi"/>
                <w:color w:val="000000" w:themeColor="text1"/>
                <w:sz w:val="20"/>
                <w:szCs w:val="20"/>
              </w:rPr>
              <w:t xml:space="preserve">Cheshire West decision </w:t>
            </w:r>
            <w:r w:rsidRPr="009377F0">
              <w:rPr>
                <w:rFonts w:asciiTheme="minorHAnsi" w:hAnsiTheme="minorHAnsi" w:cstheme="minorHAnsi"/>
                <w:color w:val="006699"/>
                <w:sz w:val="20"/>
                <w:szCs w:val="20"/>
                <w:shd w:val="clear" w:color="auto" w:fill="FFFFFF"/>
              </w:rPr>
              <w:t>https://www.supremecourt.uk/cases/docs/uksc-2012-0068-judgment.pdf</w:t>
            </w:r>
          </w:p>
          <w:p w14:paraId="24DFB000" w14:textId="16B1581A" w:rsidR="009377F0" w:rsidRPr="00FE06B2" w:rsidRDefault="009377F0" w:rsidP="009377F0">
            <w:pPr>
              <w:rPr>
                <w:rFonts w:asciiTheme="minorHAnsi" w:hAnsiTheme="minorHAnsi" w:cstheme="minorHAnsi"/>
                <w:color w:val="000000" w:themeColor="text1"/>
                <w:sz w:val="20"/>
                <w:szCs w:val="20"/>
              </w:rPr>
            </w:pPr>
          </w:p>
        </w:tc>
      </w:tr>
    </w:tbl>
    <w:p w14:paraId="3B090389" w14:textId="77777777" w:rsidR="005F5DA4" w:rsidRDefault="005F5DA4">
      <w:pPr>
        <w:rPr>
          <w:rFonts w:asciiTheme="minorHAnsi" w:hAnsiTheme="minorHAnsi" w:cstheme="minorHAnsi"/>
          <w:b/>
          <w:sz w:val="20"/>
          <w:szCs w:val="20"/>
        </w:rPr>
      </w:pPr>
      <w:r>
        <w:rPr>
          <w:rFonts w:asciiTheme="minorHAnsi" w:hAnsiTheme="minorHAnsi" w:cstheme="minorHAnsi"/>
          <w:b/>
          <w:sz w:val="20"/>
          <w:szCs w:val="20"/>
        </w:rPr>
        <w:br w:type="page"/>
      </w:r>
    </w:p>
    <w:p w14:paraId="210206E3" w14:textId="77777777" w:rsidR="00EC2535" w:rsidRPr="00FE06B2" w:rsidRDefault="00EC2535" w:rsidP="00EC2535">
      <w:pPr>
        <w:jc w:val="center"/>
        <w:rPr>
          <w:rFonts w:asciiTheme="minorHAnsi" w:hAnsiTheme="minorHAnsi"/>
          <w:b/>
          <w:sz w:val="20"/>
          <w:szCs w:val="20"/>
        </w:rPr>
      </w:pPr>
      <w:r w:rsidRPr="00FE06B2">
        <w:rPr>
          <w:rFonts w:asciiTheme="minorHAnsi" w:hAnsiTheme="minorHAnsi"/>
          <w:b/>
          <w:sz w:val="20"/>
          <w:szCs w:val="20"/>
        </w:rPr>
        <w:t xml:space="preserve">BEGINNING OF LIFE </w:t>
      </w:r>
    </w:p>
    <w:p w14:paraId="65CEF167" w14:textId="157D3E73" w:rsidR="00EC2535" w:rsidRPr="00FE06B2" w:rsidRDefault="00EC2535" w:rsidP="00EC2535">
      <w:pPr>
        <w:jc w:val="both"/>
        <w:rPr>
          <w:rFonts w:asciiTheme="minorHAnsi" w:hAnsiTheme="minorHAnsi"/>
          <w:sz w:val="20"/>
          <w:szCs w:val="20"/>
        </w:rPr>
      </w:pPr>
    </w:p>
    <w:p w14:paraId="4A67C163" w14:textId="47FC0A12" w:rsidR="003E4A53" w:rsidRPr="00FE06B2" w:rsidRDefault="00EC2535" w:rsidP="003E4A53">
      <w:pPr>
        <w:jc w:val="both"/>
        <w:rPr>
          <w:rFonts w:asciiTheme="minorHAnsi" w:hAnsiTheme="minorHAnsi" w:cs="Arial"/>
          <w:sz w:val="20"/>
          <w:szCs w:val="20"/>
        </w:rPr>
      </w:pPr>
      <w:r w:rsidRPr="00FE06B2">
        <w:rPr>
          <w:rFonts w:asciiTheme="minorHAnsi" w:hAnsiTheme="minorHAnsi"/>
          <w:sz w:val="20"/>
          <w:szCs w:val="20"/>
        </w:rPr>
        <w:t xml:space="preserve">A key focus is the </w:t>
      </w:r>
      <w:proofErr w:type="spellStart"/>
      <w:r w:rsidRPr="00FE06B2">
        <w:rPr>
          <w:rFonts w:asciiTheme="minorHAnsi" w:hAnsiTheme="minorHAnsi"/>
          <w:sz w:val="20"/>
          <w:szCs w:val="20"/>
        </w:rPr>
        <w:t>ethico</w:t>
      </w:r>
      <w:proofErr w:type="spellEnd"/>
      <w:r w:rsidRPr="00FE06B2">
        <w:rPr>
          <w:rFonts w:asciiTheme="minorHAnsi" w:hAnsiTheme="minorHAnsi"/>
          <w:sz w:val="20"/>
          <w:szCs w:val="20"/>
        </w:rPr>
        <w:t xml:space="preserve">-legal issues surrounding the status of the embryo and </w:t>
      </w:r>
      <w:proofErr w:type="spellStart"/>
      <w:r w:rsidRPr="00FE06B2">
        <w:rPr>
          <w:rFonts w:asciiTheme="minorHAnsi" w:hAnsiTheme="minorHAnsi"/>
          <w:sz w:val="20"/>
          <w:szCs w:val="20"/>
        </w:rPr>
        <w:t>fetus</w:t>
      </w:r>
      <w:proofErr w:type="spellEnd"/>
      <w:r w:rsidRPr="00FE06B2">
        <w:rPr>
          <w:rFonts w:asciiTheme="minorHAnsi" w:hAnsiTheme="minorHAnsi"/>
          <w:sz w:val="20"/>
          <w:szCs w:val="20"/>
        </w:rPr>
        <w:t xml:space="preserve">, including concepts of personhood and moral status of a </w:t>
      </w:r>
      <w:proofErr w:type="spellStart"/>
      <w:r w:rsidRPr="00FE06B2">
        <w:rPr>
          <w:rFonts w:asciiTheme="minorHAnsi" w:hAnsiTheme="minorHAnsi"/>
          <w:sz w:val="20"/>
          <w:szCs w:val="20"/>
        </w:rPr>
        <w:t>fetus</w:t>
      </w:r>
      <w:proofErr w:type="spellEnd"/>
      <w:r w:rsidRPr="00FE06B2">
        <w:rPr>
          <w:rFonts w:asciiTheme="minorHAnsi" w:hAnsiTheme="minorHAnsi"/>
          <w:sz w:val="20"/>
          <w:szCs w:val="20"/>
        </w:rPr>
        <w:t xml:space="preserve">. </w:t>
      </w:r>
      <w:r w:rsidR="009E3104">
        <w:rPr>
          <w:rFonts w:asciiTheme="minorHAnsi" w:hAnsiTheme="minorHAnsi"/>
          <w:sz w:val="20"/>
          <w:szCs w:val="20"/>
        </w:rPr>
        <w:t xml:space="preserve"> </w:t>
      </w:r>
      <w:r w:rsidR="003E4A53" w:rsidRPr="00FE06B2">
        <w:rPr>
          <w:rFonts w:asciiTheme="minorHAnsi" w:hAnsiTheme="minorHAnsi" w:cs="Arial"/>
          <w:sz w:val="20"/>
          <w:szCs w:val="20"/>
        </w:rPr>
        <w:t xml:space="preserve">Moral status may be seen as a gradual acquisition as the </w:t>
      </w:r>
      <w:proofErr w:type="spellStart"/>
      <w:r w:rsidR="003E4A53" w:rsidRPr="00FE06B2">
        <w:rPr>
          <w:rFonts w:asciiTheme="minorHAnsi" w:hAnsiTheme="minorHAnsi" w:cs="Arial"/>
          <w:sz w:val="20"/>
          <w:szCs w:val="20"/>
        </w:rPr>
        <w:t>fetus</w:t>
      </w:r>
      <w:proofErr w:type="spellEnd"/>
      <w:r w:rsidR="003E4A53" w:rsidRPr="00FE06B2">
        <w:rPr>
          <w:rFonts w:asciiTheme="minorHAnsi" w:hAnsiTheme="minorHAnsi" w:cs="Arial"/>
          <w:sz w:val="20"/>
          <w:szCs w:val="20"/>
        </w:rPr>
        <w:t xml:space="preserve"> develops. There are no definitive criteria for personhood, but there is some agreement that self-consciousness, rationality and capacity to reason, capacity to communicate; and capacity to act of one’s own volition are required for personhood. </w:t>
      </w:r>
      <w:r w:rsidR="009E3104">
        <w:rPr>
          <w:rFonts w:asciiTheme="minorHAnsi" w:hAnsiTheme="minorHAnsi" w:cs="Arial"/>
          <w:sz w:val="20"/>
          <w:szCs w:val="20"/>
        </w:rPr>
        <w:t xml:space="preserve"> Religious perspectives on ensoulment and sanctity of life (can link to end of life).</w:t>
      </w:r>
    </w:p>
    <w:p w14:paraId="69DCB887" w14:textId="0972C04B" w:rsidR="003E4A53" w:rsidRDefault="003E4A53" w:rsidP="00EC2535">
      <w:pPr>
        <w:jc w:val="both"/>
        <w:rPr>
          <w:rFonts w:asciiTheme="minorHAnsi" w:hAnsiTheme="minorHAnsi"/>
          <w:sz w:val="20"/>
          <w:szCs w:val="20"/>
        </w:rPr>
      </w:pPr>
    </w:p>
    <w:p w14:paraId="4F0FFAD2" w14:textId="0FD0B39D" w:rsidR="00EC2535" w:rsidRDefault="00EC2535" w:rsidP="00EC2535">
      <w:pPr>
        <w:jc w:val="both"/>
        <w:rPr>
          <w:rFonts w:asciiTheme="minorHAnsi" w:hAnsiTheme="minorHAnsi"/>
          <w:sz w:val="20"/>
          <w:szCs w:val="20"/>
        </w:rPr>
      </w:pPr>
      <w:r w:rsidRPr="00FE06B2">
        <w:rPr>
          <w:rFonts w:asciiTheme="minorHAnsi" w:hAnsiTheme="minorHAnsi"/>
          <w:sz w:val="20"/>
          <w:szCs w:val="20"/>
        </w:rPr>
        <w:t xml:space="preserve">While the </w:t>
      </w:r>
      <w:proofErr w:type="spellStart"/>
      <w:r w:rsidRPr="00FE06B2">
        <w:rPr>
          <w:rFonts w:asciiTheme="minorHAnsi" w:hAnsiTheme="minorHAnsi"/>
          <w:sz w:val="20"/>
          <w:szCs w:val="20"/>
        </w:rPr>
        <w:t>fetus</w:t>
      </w:r>
      <w:proofErr w:type="spellEnd"/>
      <w:r w:rsidRPr="00FE06B2">
        <w:rPr>
          <w:rFonts w:asciiTheme="minorHAnsi" w:hAnsiTheme="minorHAnsi"/>
          <w:sz w:val="20"/>
          <w:szCs w:val="20"/>
        </w:rPr>
        <w:t xml:space="preserve"> is not considered a legal person it is afforded legal protection through criminal and civil measures. </w:t>
      </w:r>
      <w:r w:rsidR="009E3104">
        <w:rPr>
          <w:rFonts w:asciiTheme="minorHAnsi" w:hAnsiTheme="minorHAnsi"/>
          <w:sz w:val="20"/>
          <w:szCs w:val="20"/>
        </w:rPr>
        <w:t xml:space="preserve">  You can raise rights-based arguments in relation to </w:t>
      </w:r>
      <w:r w:rsidRPr="00FE06B2">
        <w:rPr>
          <w:rFonts w:asciiTheme="minorHAnsi" w:hAnsiTheme="minorHAnsi"/>
          <w:sz w:val="20"/>
          <w:szCs w:val="20"/>
        </w:rPr>
        <w:t>termination of pregnancy</w:t>
      </w:r>
      <w:r w:rsidR="009E3104">
        <w:rPr>
          <w:rFonts w:asciiTheme="minorHAnsi" w:hAnsiTheme="minorHAnsi"/>
          <w:sz w:val="20"/>
          <w:szCs w:val="20"/>
        </w:rPr>
        <w:t xml:space="preserve"> – including </w:t>
      </w:r>
      <w:proofErr w:type="spellStart"/>
      <w:r w:rsidR="009E3104">
        <w:rPr>
          <w:rFonts w:asciiTheme="minorHAnsi" w:hAnsiTheme="minorHAnsi"/>
          <w:sz w:val="20"/>
          <w:szCs w:val="20"/>
        </w:rPr>
        <w:t>fetal</w:t>
      </w:r>
      <w:proofErr w:type="spellEnd"/>
      <w:r w:rsidR="009E3104">
        <w:rPr>
          <w:rFonts w:asciiTheme="minorHAnsi" w:hAnsiTheme="minorHAnsi"/>
          <w:sz w:val="20"/>
          <w:szCs w:val="20"/>
        </w:rPr>
        <w:t xml:space="preserve"> rights on the basis of a potential person to </w:t>
      </w:r>
      <w:proofErr w:type="gramStart"/>
      <w:r w:rsidR="009E3104">
        <w:rPr>
          <w:rFonts w:asciiTheme="minorHAnsi" w:hAnsiTheme="minorHAnsi"/>
          <w:sz w:val="20"/>
          <w:szCs w:val="20"/>
        </w:rPr>
        <w:t>be</w:t>
      </w:r>
      <w:r w:rsidRPr="00FE06B2">
        <w:rPr>
          <w:rFonts w:asciiTheme="minorHAnsi" w:hAnsiTheme="minorHAnsi"/>
          <w:sz w:val="20"/>
          <w:szCs w:val="20"/>
        </w:rPr>
        <w:t>.</w:t>
      </w:r>
      <w:r w:rsidR="009E3104">
        <w:rPr>
          <w:rFonts w:asciiTheme="minorHAnsi" w:hAnsiTheme="minorHAnsi"/>
          <w:sz w:val="20"/>
          <w:szCs w:val="20"/>
        </w:rPr>
        <w:t>,</w:t>
      </w:r>
      <w:proofErr w:type="gramEnd"/>
      <w:r w:rsidR="009E3104">
        <w:rPr>
          <w:rFonts w:asciiTheme="minorHAnsi" w:hAnsiTheme="minorHAnsi"/>
          <w:sz w:val="20"/>
          <w:szCs w:val="20"/>
        </w:rPr>
        <w:t xml:space="preserve"> and </w:t>
      </w:r>
      <w:r w:rsidRPr="00FE06B2">
        <w:rPr>
          <w:rFonts w:asciiTheme="minorHAnsi" w:hAnsiTheme="minorHAnsi"/>
          <w:sz w:val="20"/>
          <w:szCs w:val="20"/>
        </w:rPr>
        <w:t>woman’s rights</w:t>
      </w:r>
      <w:r w:rsidR="009E3104">
        <w:rPr>
          <w:rFonts w:asciiTheme="minorHAnsi" w:hAnsiTheme="minorHAnsi"/>
          <w:sz w:val="20"/>
          <w:szCs w:val="20"/>
        </w:rPr>
        <w:t>, including</w:t>
      </w:r>
      <w:r w:rsidRPr="00FE06B2">
        <w:rPr>
          <w:rFonts w:asciiTheme="minorHAnsi" w:hAnsiTheme="minorHAnsi"/>
          <w:sz w:val="20"/>
          <w:szCs w:val="20"/>
        </w:rPr>
        <w:t xml:space="preserve"> the right to life, </w:t>
      </w:r>
      <w:r w:rsidR="009E3104">
        <w:rPr>
          <w:rFonts w:asciiTheme="minorHAnsi" w:hAnsiTheme="minorHAnsi"/>
          <w:sz w:val="20"/>
          <w:szCs w:val="20"/>
        </w:rPr>
        <w:t xml:space="preserve">to </w:t>
      </w:r>
      <w:r w:rsidRPr="00FE06B2">
        <w:rPr>
          <w:rFonts w:asciiTheme="minorHAnsi" w:hAnsiTheme="minorHAnsi"/>
          <w:sz w:val="20"/>
          <w:szCs w:val="20"/>
        </w:rPr>
        <w:t>good healthcare</w:t>
      </w:r>
      <w:r w:rsidR="009E3104">
        <w:rPr>
          <w:rFonts w:asciiTheme="minorHAnsi" w:hAnsiTheme="minorHAnsi"/>
          <w:sz w:val="20"/>
          <w:szCs w:val="20"/>
        </w:rPr>
        <w:t>, and respect for</w:t>
      </w:r>
      <w:r w:rsidRPr="00FE06B2">
        <w:rPr>
          <w:rFonts w:asciiTheme="minorHAnsi" w:hAnsiTheme="minorHAnsi"/>
          <w:sz w:val="20"/>
          <w:szCs w:val="20"/>
        </w:rPr>
        <w:t xml:space="preserve"> autonomy.</w:t>
      </w:r>
      <w:r w:rsidR="009E3104">
        <w:rPr>
          <w:rFonts w:asciiTheme="minorHAnsi" w:hAnsiTheme="minorHAnsi"/>
          <w:sz w:val="20"/>
          <w:szCs w:val="20"/>
        </w:rPr>
        <w:t xml:space="preserve"> </w:t>
      </w:r>
      <w:r w:rsidRPr="00FE06B2">
        <w:rPr>
          <w:rFonts w:asciiTheme="minorHAnsi" w:hAnsiTheme="minorHAnsi"/>
          <w:sz w:val="20"/>
          <w:szCs w:val="20"/>
        </w:rPr>
        <w:t xml:space="preserve"> </w:t>
      </w:r>
      <w:r w:rsidR="003E4A53">
        <w:rPr>
          <w:rFonts w:asciiTheme="minorHAnsi" w:hAnsiTheme="minorHAnsi"/>
          <w:sz w:val="20"/>
          <w:szCs w:val="20"/>
        </w:rPr>
        <w:t xml:space="preserve"> </w:t>
      </w:r>
    </w:p>
    <w:p w14:paraId="1250771E" w14:textId="77777777" w:rsidR="00F77A5D" w:rsidRPr="00FE06B2" w:rsidRDefault="00F77A5D" w:rsidP="00EC2535">
      <w:pPr>
        <w:jc w:val="both"/>
        <w:rPr>
          <w:rFonts w:asciiTheme="minorHAnsi" w:hAnsiTheme="minorHAnsi"/>
          <w:sz w:val="20"/>
          <w:szCs w:val="20"/>
        </w:rPr>
      </w:pPr>
    </w:p>
    <w:p w14:paraId="58E6581C" w14:textId="77777777" w:rsidR="009E5F4C" w:rsidRDefault="00EC2535" w:rsidP="00EC2535">
      <w:pPr>
        <w:pStyle w:val="FootnoteText"/>
        <w:jc w:val="both"/>
        <w:rPr>
          <w:rFonts w:asciiTheme="minorHAnsi" w:hAnsiTheme="minorHAnsi"/>
        </w:rPr>
      </w:pPr>
      <w:r w:rsidRPr="00FE06B2">
        <w:rPr>
          <w:rFonts w:asciiTheme="minorHAnsi" w:hAnsiTheme="minorHAnsi"/>
        </w:rPr>
        <w:t>You may also wish to cover the ethical, legal and professional issues regarding reproductive choice, including contraception, artificial reproductive technologies (ARTs), and termination of pregnancy</w:t>
      </w:r>
      <w:r w:rsidR="009E5F4C">
        <w:rPr>
          <w:rFonts w:asciiTheme="minorHAnsi" w:hAnsiTheme="minorHAnsi"/>
        </w:rPr>
        <w:t>; h</w:t>
      </w:r>
      <w:r w:rsidRPr="00FE06B2">
        <w:rPr>
          <w:rFonts w:asciiTheme="minorHAnsi" w:hAnsiTheme="minorHAnsi"/>
        </w:rPr>
        <w:t>ow cultural or religious values may shape individual choices</w:t>
      </w:r>
      <w:r w:rsidR="009E5F4C">
        <w:rPr>
          <w:rFonts w:asciiTheme="minorHAnsi" w:hAnsiTheme="minorHAnsi"/>
        </w:rPr>
        <w:t>; t</w:t>
      </w:r>
      <w:r w:rsidRPr="00FE06B2">
        <w:rPr>
          <w:rFonts w:asciiTheme="minorHAnsi" w:hAnsiTheme="minorHAnsi"/>
        </w:rPr>
        <w:t xml:space="preserve">he role of genetic testing in pregnancy – advantages to the </w:t>
      </w:r>
      <w:proofErr w:type="spellStart"/>
      <w:r w:rsidRPr="00FE06B2">
        <w:rPr>
          <w:rFonts w:asciiTheme="minorHAnsi" w:hAnsiTheme="minorHAnsi"/>
        </w:rPr>
        <w:t>fetus</w:t>
      </w:r>
      <w:proofErr w:type="spellEnd"/>
      <w:r w:rsidRPr="00FE06B2">
        <w:rPr>
          <w:rFonts w:asciiTheme="minorHAnsi" w:hAnsiTheme="minorHAnsi"/>
        </w:rPr>
        <w:t xml:space="preserve"> and the mother</w:t>
      </w:r>
      <w:r w:rsidR="009E5F4C">
        <w:rPr>
          <w:rFonts w:asciiTheme="minorHAnsi" w:hAnsiTheme="minorHAnsi"/>
        </w:rPr>
        <w:t xml:space="preserve">; and </w:t>
      </w:r>
      <w:r w:rsidRPr="00FE06B2">
        <w:rPr>
          <w:rFonts w:asciiTheme="minorHAnsi" w:hAnsiTheme="minorHAnsi"/>
        </w:rPr>
        <w:t>conscientious objection</w:t>
      </w:r>
      <w:r w:rsidR="009E5F4C">
        <w:rPr>
          <w:rFonts w:asciiTheme="minorHAnsi" w:hAnsiTheme="minorHAnsi"/>
        </w:rPr>
        <w:t>.</w:t>
      </w:r>
    </w:p>
    <w:p w14:paraId="7FA54D0C" w14:textId="77777777" w:rsidR="009E5F4C" w:rsidRDefault="009E5F4C" w:rsidP="00EC2535">
      <w:pPr>
        <w:pStyle w:val="FootnoteText"/>
        <w:jc w:val="both"/>
        <w:rPr>
          <w:rFonts w:asciiTheme="minorHAnsi" w:hAnsiTheme="minorHAnsi"/>
        </w:rPr>
      </w:pPr>
    </w:p>
    <w:p w14:paraId="3316348A" w14:textId="654CB7DD" w:rsidR="00EC2535" w:rsidRPr="00FE06B2" w:rsidRDefault="009E5F4C" w:rsidP="00EC2535">
      <w:pPr>
        <w:pStyle w:val="FootnoteText"/>
        <w:jc w:val="both"/>
        <w:rPr>
          <w:rFonts w:asciiTheme="minorHAnsi" w:hAnsiTheme="minorHAnsi"/>
        </w:rPr>
      </w:pPr>
      <w:r>
        <w:rPr>
          <w:rFonts w:asciiTheme="minorHAnsi" w:hAnsiTheme="minorHAnsi"/>
        </w:rPr>
        <w:t>This topic can be linked to genetics and embryo research and also capacity issues</w:t>
      </w:r>
      <w:r w:rsidR="009E3104">
        <w:rPr>
          <w:rFonts w:asciiTheme="minorHAnsi" w:hAnsiTheme="minorHAnsi"/>
        </w:rPr>
        <w:t xml:space="preserve">, children and young people, and </w:t>
      </w:r>
      <w:r>
        <w:rPr>
          <w:rFonts w:asciiTheme="minorHAnsi" w:hAnsiTheme="minorHAnsi"/>
        </w:rPr>
        <w:t>end of life</w:t>
      </w:r>
      <w:r w:rsidR="009E3104">
        <w:rPr>
          <w:rFonts w:asciiTheme="minorHAnsi" w:hAnsiTheme="minorHAnsi"/>
        </w:rPr>
        <w:t>.</w:t>
      </w:r>
      <w:r w:rsidR="00EC2535" w:rsidRPr="00FE06B2">
        <w:rPr>
          <w:rFonts w:asciiTheme="minorHAnsi" w:hAnsiTheme="minorHAnsi"/>
        </w:rPr>
        <w:t xml:space="preserve"> </w:t>
      </w:r>
    </w:p>
    <w:p w14:paraId="3ABEDDD7" w14:textId="3BEA8534" w:rsidR="00EC2535" w:rsidRDefault="00EC2535" w:rsidP="00EC2535">
      <w:pPr>
        <w:jc w:val="both"/>
        <w:rPr>
          <w:rFonts w:asciiTheme="minorHAnsi" w:hAnsiTheme="minorHAnsi" w:cs="Arial"/>
          <w:b/>
          <w:sz w:val="20"/>
          <w:szCs w:val="20"/>
        </w:rPr>
      </w:pPr>
    </w:p>
    <w:p w14:paraId="2F04FDD3" w14:textId="6D8A4AA3" w:rsidR="009E5F4C" w:rsidRDefault="009E5F4C" w:rsidP="00EC2535">
      <w:pPr>
        <w:jc w:val="both"/>
        <w:rPr>
          <w:rFonts w:asciiTheme="minorHAnsi" w:hAnsiTheme="minorHAnsi" w:cs="Arial"/>
          <w:b/>
          <w:sz w:val="20"/>
          <w:szCs w:val="20"/>
        </w:rPr>
      </w:pPr>
    </w:p>
    <w:tbl>
      <w:tblPr>
        <w:tblStyle w:val="TableGrid"/>
        <w:tblW w:w="0" w:type="auto"/>
        <w:tblLook w:val="04A0" w:firstRow="1" w:lastRow="0" w:firstColumn="1" w:lastColumn="0" w:noHBand="0" w:noVBand="1"/>
      </w:tblPr>
      <w:tblGrid>
        <w:gridCol w:w="9016"/>
      </w:tblGrid>
      <w:tr w:rsidR="009E5F4C" w14:paraId="25DEF43D" w14:textId="77777777" w:rsidTr="009E5F4C">
        <w:tc>
          <w:tcPr>
            <w:tcW w:w="9016" w:type="dxa"/>
          </w:tcPr>
          <w:p w14:paraId="0F8614F7" w14:textId="5DF21E04" w:rsidR="009E5F4C" w:rsidRDefault="009E5F4C" w:rsidP="00EC2535">
            <w:pPr>
              <w:jc w:val="both"/>
              <w:rPr>
                <w:rFonts w:asciiTheme="minorHAnsi" w:hAnsiTheme="minorHAnsi" w:cs="Arial"/>
                <w:b/>
                <w:sz w:val="20"/>
                <w:szCs w:val="20"/>
              </w:rPr>
            </w:pPr>
            <w:r>
              <w:rPr>
                <w:rFonts w:asciiTheme="minorHAnsi" w:hAnsiTheme="minorHAnsi" w:cs="Arial"/>
                <w:b/>
                <w:sz w:val="20"/>
                <w:szCs w:val="20"/>
              </w:rPr>
              <w:t>Useful Resources</w:t>
            </w:r>
          </w:p>
        </w:tc>
      </w:tr>
      <w:tr w:rsidR="009E5F4C" w14:paraId="175472A9" w14:textId="77777777" w:rsidTr="009E5F4C">
        <w:tc>
          <w:tcPr>
            <w:tcW w:w="9016" w:type="dxa"/>
          </w:tcPr>
          <w:p w14:paraId="3C07C532" w14:textId="77777777" w:rsidR="00E03C65" w:rsidRPr="00FE06B2" w:rsidRDefault="00E03C65" w:rsidP="00E03C65">
            <w:pPr>
              <w:spacing w:after="120"/>
              <w:jc w:val="both"/>
              <w:rPr>
                <w:rFonts w:asciiTheme="minorHAnsi" w:hAnsiTheme="minorHAnsi" w:cs="Arial"/>
                <w:color w:val="222222"/>
                <w:sz w:val="20"/>
                <w:szCs w:val="20"/>
              </w:rPr>
            </w:pPr>
            <w:r w:rsidRPr="00FE06B2">
              <w:rPr>
                <w:rFonts w:asciiTheme="minorHAnsi" w:hAnsiTheme="minorHAnsi" w:cs="Arial"/>
                <w:color w:val="222222"/>
                <w:sz w:val="20"/>
                <w:szCs w:val="20"/>
              </w:rPr>
              <w:t>A-G Reference (No. 3 of 1994) [1997] 3 WLR 421</w:t>
            </w:r>
          </w:p>
          <w:p w14:paraId="4F2F24F5" w14:textId="77777777" w:rsidR="009E5F4C" w:rsidRPr="00FE06B2" w:rsidRDefault="009E5F4C" w:rsidP="009E5F4C">
            <w:pPr>
              <w:spacing w:after="120"/>
              <w:jc w:val="both"/>
              <w:rPr>
                <w:rFonts w:asciiTheme="minorHAnsi" w:hAnsiTheme="minorHAnsi" w:cs="Arial"/>
                <w:color w:val="222222"/>
                <w:sz w:val="20"/>
                <w:szCs w:val="20"/>
              </w:rPr>
            </w:pPr>
            <w:r w:rsidRPr="00FE06B2">
              <w:rPr>
                <w:rFonts w:asciiTheme="minorHAnsi" w:hAnsiTheme="minorHAnsi" w:cs="Arial"/>
                <w:color w:val="222222"/>
                <w:sz w:val="20"/>
                <w:szCs w:val="20"/>
              </w:rPr>
              <w:t xml:space="preserve">Beauchamp, T.L., 1999. The failure of theories of personhood. In </w:t>
            </w:r>
            <w:r w:rsidRPr="00FE06B2">
              <w:rPr>
                <w:rFonts w:asciiTheme="minorHAnsi" w:hAnsiTheme="minorHAnsi" w:cs="Arial"/>
                <w:i/>
                <w:iCs/>
                <w:color w:val="222222"/>
                <w:sz w:val="20"/>
                <w:szCs w:val="20"/>
              </w:rPr>
              <w:t>Personhood and Health Care</w:t>
            </w:r>
            <w:r w:rsidRPr="00FE06B2">
              <w:rPr>
                <w:rFonts w:asciiTheme="minorHAnsi" w:hAnsiTheme="minorHAnsi" w:cs="Arial"/>
                <w:color w:val="222222"/>
                <w:sz w:val="20"/>
                <w:szCs w:val="20"/>
              </w:rPr>
              <w:t xml:space="preserve"> (pp. 59-69). Springer, Dordrecht.</w:t>
            </w:r>
          </w:p>
          <w:p w14:paraId="4F5F24CB" w14:textId="77777777" w:rsidR="00E03C65" w:rsidRPr="00FE06B2" w:rsidRDefault="00E03C65" w:rsidP="00E03C65">
            <w:pPr>
              <w:pStyle w:val="FootnoteText"/>
              <w:spacing w:after="120"/>
              <w:jc w:val="both"/>
              <w:rPr>
                <w:rFonts w:asciiTheme="minorHAnsi" w:hAnsiTheme="minorHAnsi" w:cs="Arial"/>
                <w:color w:val="222222"/>
              </w:rPr>
            </w:pPr>
            <w:r w:rsidRPr="00FE06B2">
              <w:rPr>
                <w:rFonts w:asciiTheme="minorHAnsi" w:hAnsiTheme="minorHAnsi" w:cs="Arial"/>
                <w:color w:val="222222"/>
              </w:rPr>
              <w:t>Feinberg, J., 2007. The child's right to an open future.</w:t>
            </w:r>
          </w:p>
          <w:p w14:paraId="53DEC474" w14:textId="77777777" w:rsidR="00E03C65" w:rsidRPr="00FE06B2" w:rsidRDefault="00E03C65" w:rsidP="00E03C65">
            <w:pPr>
              <w:spacing w:after="120"/>
              <w:jc w:val="both"/>
              <w:rPr>
                <w:rFonts w:asciiTheme="minorHAnsi" w:hAnsiTheme="minorHAnsi" w:cs="Arial"/>
                <w:color w:val="222222"/>
                <w:sz w:val="20"/>
                <w:szCs w:val="20"/>
              </w:rPr>
            </w:pPr>
            <w:r w:rsidRPr="00FE06B2">
              <w:rPr>
                <w:rFonts w:asciiTheme="minorHAnsi" w:hAnsiTheme="minorHAnsi" w:cs="Arial"/>
                <w:color w:val="222222"/>
                <w:sz w:val="20"/>
                <w:szCs w:val="20"/>
              </w:rPr>
              <w:t xml:space="preserve">Fovargue, S. and Miola, J., 2010. The legal status of the </w:t>
            </w:r>
            <w:proofErr w:type="spellStart"/>
            <w:r w:rsidRPr="00FE06B2">
              <w:rPr>
                <w:rFonts w:asciiTheme="minorHAnsi" w:hAnsiTheme="minorHAnsi" w:cs="Arial"/>
                <w:color w:val="222222"/>
                <w:sz w:val="20"/>
                <w:szCs w:val="20"/>
              </w:rPr>
              <w:t>fetus</w:t>
            </w:r>
            <w:proofErr w:type="spellEnd"/>
            <w:r w:rsidRPr="00FE06B2">
              <w:rPr>
                <w:rFonts w:asciiTheme="minorHAnsi" w:hAnsiTheme="minorHAnsi" w:cs="Arial"/>
                <w:color w:val="222222"/>
                <w:sz w:val="20"/>
                <w:szCs w:val="20"/>
              </w:rPr>
              <w:t xml:space="preserve">. </w:t>
            </w:r>
            <w:r w:rsidRPr="00FE06B2">
              <w:rPr>
                <w:rFonts w:asciiTheme="minorHAnsi" w:hAnsiTheme="minorHAnsi" w:cs="Arial"/>
                <w:i/>
                <w:iCs/>
                <w:color w:val="222222"/>
                <w:sz w:val="20"/>
                <w:szCs w:val="20"/>
              </w:rPr>
              <w:t>Clinical Ethics</w:t>
            </w:r>
            <w:r w:rsidRPr="00FE06B2">
              <w:rPr>
                <w:rFonts w:asciiTheme="minorHAnsi" w:hAnsiTheme="minorHAnsi" w:cs="Arial"/>
                <w:color w:val="222222"/>
                <w:sz w:val="20"/>
                <w:szCs w:val="20"/>
              </w:rPr>
              <w:t xml:space="preserve">, </w:t>
            </w:r>
            <w:r w:rsidRPr="00FE06B2">
              <w:rPr>
                <w:rFonts w:asciiTheme="minorHAnsi" w:hAnsiTheme="minorHAnsi" w:cs="Arial"/>
                <w:i/>
                <w:iCs/>
                <w:color w:val="222222"/>
                <w:sz w:val="20"/>
                <w:szCs w:val="20"/>
              </w:rPr>
              <w:t>5</w:t>
            </w:r>
            <w:r w:rsidRPr="00FE06B2">
              <w:rPr>
                <w:rFonts w:asciiTheme="minorHAnsi" w:hAnsiTheme="minorHAnsi" w:cs="Arial"/>
                <w:color w:val="222222"/>
                <w:sz w:val="20"/>
                <w:szCs w:val="20"/>
              </w:rPr>
              <w:t>(3), pp.122-124.</w:t>
            </w:r>
          </w:p>
          <w:p w14:paraId="173D1BF5" w14:textId="77777777" w:rsidR="00E03C65" w:rsidRPr="00FE06B2" w:rsidRDefault="001673C8" w:rsidP="00E03C65">
            <w:pPr>
              <w:pStyle w:val="FootnoteText"/>
              <w:spacing w:after="120"/>
              <w:jc w:val="both"/>
              <w:rPr>
                <w:rFonts w:asciiTheme="minorHAnsi" w:hAnsiTheme="minorHAnsi" w:cs="Arial"/>
              </w:rPr>
            </w:pPr>
            <w:hyperlink r:id="rId45" w:history="1">
              <w:r w:rsidR="00E03C65" w:rsidRPr="00FE06B2">
                <w:rPr>
                  <w:rStyle w:val="Hyperlink"/>
                  <w:rFonts w:asciiTheme="minorHAnsi" w:hAnsiTheme="minorHAnsi" w:cs="Arial"/>
                </w:rPr>
                <w:t>https://www.gmc-uk.org/ethical-guidance/ethical-guidance-for-doctors/personal-beliefs-and-medical-practice/personal-beliefs-and-medical-practice</w:t>
              </w:r>
            </w:hyperlink>
          </w:p>
          <w:p w14:paraId="1D769D2E" w14:textId="77777777" w:rsidR="00E03C65" w:rsidRPr="00FE06B2" w:rsidRDefault="00E03C65" w:rsidP="00E03C65">
            <w:pPr>
              <w:pStyle w:val="FootnoteText"/>
              <w:spacing w:after="120"/>
              <w:jc w:val="both"/>
              <w:rPr>
                <w:rFonts w:asciiTheme="minorHAnsi" w:hAnsiTheme="minorHAnsi" w:cs="Arial"/>
              </w:rPr>
            </w:pPr>
            <w:r w:rsidRPr="00FE06B2">
              <w:rPr>
                <w:rFonts w:asciiTheme="minorHAnsi" w:hAnsiTheme="minorHAnsi" w:cs="Arial"/>
                <w:color w:val="222222"/>
              </w:rPr>
              <w:t xml:space="preserve">Glover, J., 1990. </w:t>
            </w:r>
            <w:r w:rsidRPr="00FE06B2">
              <w:rPr>
                <w:rFonts w:asciiTheme="minorHAnsi" w:hAnsiTheme="minorHAnsi" w:cs="Arial"/>
                <w:i/>
                <w:iCs/>
                <w:color w:val="222222"/>
              </w:rPr>
              <w:t>Causing death and saving lives: The moral problems of abortion, infanticide, suicide, euthanasia, capital punishment, war and other life-or-death choices</w:t>
            </w:r>
            <w:r w:rsidRPr="00FE06B2">
              <w:rPr>
                <w:rFonts w:asciiTheme="minorHAnsi" w:hAnsiTheme="minorHAnsi" w:cs="Arial"/>
                <w:color w:val="222222"/>
              </w:rPr>
              <w:t>. Penguin UK.</w:t>
            </w:r>
          </w:p>
          <w:p w14:paraId="5F2019A5" w14:textId="77777777" w:rsidR="00E03C65" w:rsidRPr="00FE06B2" w:rsidRDefault="00E03C65" w:rsidP="00E03C65">
            <w:pPr>
              <w:pStyle w:val="FootnoteText"/>
              <w:spacing w:after="120"/>
              <w:jc w:val="both"/>
              <w:rPr>
                <w:rFonts w:asciiTheme="minorHAnsi" w:hAnsiTheme="minorHAnsi" w:cs="Arial"/>
              </w:rPr>
            </w:pPr>
            <w:r w:rsidRPr="00FE06B2">
              <w:rPr>
                <w:rFonts w:asciiTheme="minorHAnsi" w:hAnsiTheme="minorHAnsi" w:cs="Arial"/>
                <w:color w:val="222222"/>
              </w:rPr>
              <w:t xml:space="preserve">Marquis, D., 1989. Why abortion is immoral. </w:t>
            </w:r>
            <w:r w:rsidRPr="00FE06B2">
              <w:rPr>
                <w:rFonts w:asciiTheme="minorHAnsi" w:hAnsiTheme="minorHAnsi" w:cs="Arial"/>
                <w:i/>
                <w:iCs/>
                <w:color w:val="222222"/>
              </w:rPr>
              <w:t>The Journal of Philosophy</w:t>
            </w:r>
            <w:r w:rsidRPr="00FE06B2">
              <w:rPr>
                <w:rFonts w:asciiTheme="minorHAnsi" w:hAnsiTheme="minorHAnsi" w:cs="Arial"/>
                <w:color w:val="222222"/>
              </w:rPr>
              <w:t xml:space="preserve">, </w:t>
            </w:r>
            <w:r w:rsidRPr="00FE06B2">
              <w:rPr>
                <w:rFonts w:asciiTheme="minorHAnsi" w:hAnsiTheme="minorHAnsi" w:cs="Arial"/>
                <w:i/>
                <w:iCs/>
                <w:color w:val="222222"/>
              </w:rPr>
              <w:t>86</w:t>
            </w:r>
            <w:r w:rsidRPr="00FE06B2">
              <w:rPr>
                <w:rFonts w:asciiTheme="minorHAnsi" w:hAnsiTheme="minorHAnsi" w:cs="Arial"/>
                <w:color w:val="222222"/>
              </w:rPr>
              <w:t>(4), pp.183-202.</w:t>
            </w:r>
          </w:p>
          <w:p w14:paraId="2C766C08" w14:textId="77777777" w:rsidR="009E5F4C" w:rsidRPr="00FE06B2" w:rsidRDefault="009E5F4C" w:rsidP="009E5F4C">
            <w:pPr>
              <w:spacing w:after="120"/>
              <w:jc w:val="both"/>
              <w:rPr>
                <w:rFonts w:asciiTheme="minorHAnsi" w:hAnsiTheme="minorHAnsi" w:cs="Arial"/>
                <w:color w:val="222222"/>
                <w:sz w:val="20"/>
                <w:szCs w:val="20"/>
              </w:rPr>
            </w:pPr>
            <w:r w:rsidRPr="00FE06B2">
              <w:rPr>
                <w:rFonts w:asciiTheme="minorHAnsi" w:hAnsiTheme="minorHAnsi" w:cs="Arial"/>
                <w:color w:val="222222"/>
                <w:sz w:val="20"/>
                <w:szCs w:val="20"/>
              </w:rPr>
              <w:t xml:space="preserve">Newson, A.J., 2006. Personhood and moral status. </w:t>
            </w:r>
            <w:r w:rsidRPr="00FE06B2">
              <w:rPr>
                <w:rFonts w:asciiTheme="minorHAnsi" w:hAnsiTheme="minorHAnsi" w:cs="Arial"/>
                <w:i/>
                <w:iCs/>
                <w:color w:val="222222"/>
                <w:sz w:val="20"/>
                <w:szCs w:val="20"/>
              </w:rPr>
              <w:t>Principles of Health Care Ethics</w:t>
            </w:r>
            <w:r w:rsidRPr="00FE06B2">
              <w:rPr>
                <w:rFonts w:asciiTheme="minorHAnsi" w:hAnsiTheme="minorHAnsi" w:cs="Arial"/>
                <w:color w:val="222222"/>
                <w:sz w:val="20"/>
                <w:szCs w:val="20"/>
              </w:rPr>
              <w:t>, pp.277-283.</w:t>
            </w:r>
          </w:p>
          <w:p w14:paraId="7589FA98" w14:textId="77777777" w:rsidR="009E5F4C" w:rsidRPr="00FE06B2" w:rsidRDefault="009E5F4C" w:rsidP="009E5F4C">
            <w:pPr>
              <w:pStyle w:val="FootnoteText"/>
              <w:spacing w:after="120"/>
              <w:jc w:val="both"/>
              <w:rPr>
                <w:rFonts w:asciiTheme="minorHAnsi" w:hAnsiTheme="minorHAnsi" w:cs="Arial"/>
                <w:color w:val="222222"/>
              </w:rPr>
            </w:pPr>
            <w:r w:rsidRPr="00FE06B2">
              <w:rPr>
                <w:rFonts w:asciiTheme="minorHAnsi" w:hAnsiTheme="minorHAnsi" w:cs="Arial"/>
                <w:color w:val="222222"/>
              </w:rPr>
              <w:t xml:space="preserve">Shakespeare, T., 1998. Choices and rights: eugenics, genetics and disability equality. </w:t>
            </w:r>
            <w:r w:rsidRPr="00FE06B2">
              <w:rPr>
                <w:rFonts w:asciiTheme="minorHAnsi" w:hAnsiTheme="minorHAnsi" w:cs="Arial"/>
                <w:i/>
                <w:iCs/>
                <w:color w:val="222222"/>
              </w:rPr>
              <w:t>Disability &amp; Society</w:t>
            </w:r>
            <w:r w:rsidRPr="00FE06B2">
              <w:rPr>
                <w:rFonts w:asciiTheme="minorHAnsi" w:hAnsiTheme="minorHAnsi" w:cs="Arial"/>
                <w:color w:val="222222"/>
              </w:rPr>
              <w:t xml:space="preserve">, </w:t>
            </w:r>
            <w:r w:rsidRPr="00FE06B2">
              <w:rPr>
                <w:rFonts w:asciiTheme="minorHAnsi" w:hAnsiTheme="minorHAnsi" w:cs="Arial"/>
                <w:i/>
                <w:iCs/>
                <w:color w:val="222222"/>
              </w:rPr>
              <w:t>13</w:t>
            </w:r>
            <w:r w:rsidRPr="00FE06B2">
              <w:rPr>
                <w:rFonts w:asciiTheme="minorHAnsi" w:hAnsiTheme="minorHAnsi" w:cs="Arial"/>
                <w:color w:val="222222"/>
              </w:rPr>
              <w:t>(5), pp.665-681.</w:t>
            </w:r>
          </w:p>
          <w:p w14:paraId="550DDA74" w14:textId="77777777" w:rsidR="00E03C65" w:rsidRPr="00FE06B2" w:rsidRDefault="00E03C65" w:rsidP="00E03C65">
            <w:pPr>
              <w:pStyle w:val="FootnoteText"/>
              <w:spacing w:after="120"/>
              <w:jc w:val="both"/>
              <w:rPr>
                <w:rFonts w:asciiTheme="minorHAnsi" w:hAnsiTheme="minorHAnsi" w:cs="Arial"/>
              </w:rPr>
            </w:pPr>
            <w:r w:rsidRPr="00FE06B2">
              <w:rPr>
                <w:rFonts w:asciiTheme="minorHAnsi" w:hAnsiTheme="minorHAnsi" w:cs="Arial"/>
                <w:color w:val="222222"/>
              </w:rPr>
              <w:t xml:space="preserve">Thomson, J.J., 1976. A </w:t>
            </w:r>
            <w:proofErr w:type="spellStart"/>
            <w:r w:rsidRPr="00FE06B2">
              <w:rPr>
                <w:rFonts w:asciiTheme="minorHAnsi" w:hAnsiTheme="minorHAnsi" w:cs="Arial"/>
                <w:color w:val="222222"/>
              </w:rPr>
              <w:t>defense</w:t>
            </w:r>
            <w:proofErr w:type="spellEnd"/>
            <w:r w:rsidRPr="00FE06B2">
              <w:rPr>
                <w:rFonts w:asciiTheme="minorHAnsi" w:hAnsiTheme="minorHAnsi" w:cs="Arial"/>
                <w:color w:val="222222"/>
              </w:rPr>
              <w:t xml:space="preserve"> of abortion. In </w:t>
            </w:r>
            <w:r w:rsidRPr="00FE06B2">
              <w:rPr>
                <w:rFonts w:asciiTheme="minorHAnsi" w:hAnsiTheme="minorHAnsi" w:cs="Arial"/>
                <w:i/>
                <w:iCs/>
                <w:color w:val="222222"/>
              </w:rPr>
              <w:t>Biomedical ethics and the law</w:t>
            </w:r>
            <w:r w:rsidRPr="00FE06B2">
              <w:rPr>
                <w:rFonts w:asciiTheme="minorHAnsi" w:hAnsiTheme="minorHAnsi" w:cs="Arial"/>
                <w:color w:val="222222"/>
              </w:rPr>
              <w:t xml:space="preserve"> (pp. 39-54). Springer, Boston, MA.</w:t>
            </w:r>
          </w:p>
          <w:p w14:paraId="754C9DF3" w14:textId="71FE07E1" w:rsidR="009E5F4C" w:rsidRDefault="009E5F4C" w:rsidP="009E5F4C">
            <w:pPr>
              <w:jc w:val="both"/>
              <w:rPr>
                <w:rFonts w:asciiTheme="minorHAnsi" w:hAnsiTheme="minorHAnsi" w:cs="Arial"/>
                <w:b/>
                <w:sz w:val="20"/>
                <w:szCs w:val="20"/>
              </w:rPr>
            </w:pPr>
            <w:r w:rsidRPr="009E5F4C">
              <w:rPr>
                <w:rFonts w:asciiTheme="minorHAnsi" w:hAnsiTheme="minorHAnsi" w:cs="Arial"/>
                <w:sz w:val="20"/>
                <w:szCs w:val="20"/>
              </w:rPr>
              <w:t xml:space="preserve">Wyatt J. 2009. </w:t>
            </w:r>
            <w:r w:rsidRPr="009E5F4C">
              <w:rPr>
                <w:rFonts w:asciiTheme="minorHAnsi" w:hAnsiTheme="minorHAnsi" w:cs="Arial"/>
                <w:i/>
                <w:sz w:val="20"/>
                <w:szCs w:val="20"/>
              </w:rPr>
              <w:t>Matters of Life and Death</w:t>
            </w:r>
            <w:r w:rsidRPr="009E5F4C">
              <w:rPr>
                <w:rFonts w:asciiTheme="minorHAnsi" w:hAnsiTheme="minorHAnsi" w:cs="Arial"/>
                <w:sz w:val="20"/>
                <w:szCs w:val="20"/>
              </w:rPr>
              <w:t xml:space="preserve"> (2</w:t>
            </w:r>
            <w:r w:rsidRPr="009E5F4C">
              <w:rPr>
                <w:rFonts w:asciiTheme="minorHAnsi" w:hAnsiTheme="minorHAnsi" w:cs="Arial"/>
                <w:sz w:val="20"/>
                <w:szCs w:val="20"/>
                <w:vertAlign w:val="superscript"/>
              </w:rPr>
              <w:t>nd</w:t>
            </w:r>
            <w:r w:rsidRPr="009E5F4C">
              <w:rPr>
                <w:rFonts w:asciiTheme="minorHAnsi" w:hAnsiTheme="minorHAnsi" w:cs="Arial"/>
                <w:sz w:val="20"/>
                <w:szCs w:val="20"/>
              </w:rPr>
              <w:t xml:space="preserve"> edition) IVP</w:t>
            </w:r>
          </w:p>
        </w:tc>
      </w:tr>
    </w:tbl>
    <w:p w14:paraId="6D5E37E3" w14:textId="664C2859" w:rsidR="009E5F4C" w:rsidRDefault="009E5F4C" w:rsidP="00EC2535">
      <w:pPr>
        <w:jc w:val="both"/>
        <w:rPr>
          <w:rFonts w:asciiTheme="minorHAnsi" w:hAnsiTheme="minorHAnsi" w:cs="Arial"/>
          <w:b/>
          <w:sz w:val="20"/>
          <w:szCs w:val="20"/>
        </w:rPr>
      </w:pPr>
    </w:p>
    <w:tbl>
      <w:tblPr>
        <w:tblStyle w:val="TableGrid"/>
        <w:tblW w:w="0" w:type="auto"/>
        <w:tblLook w:val="04A0" w:firstRow="1" w:lastRow="0" w:firstColumn="1" w:lastColumn="0" w:noHBand="0" w:noVBand="1"/>
      </w:tblPr>
      <w:tblGrid>
        <w:gridCol w:w="9016"/>
      </w:tblGrid>
      <w:tr w:rsidR="009E5F4C" w14:paraId="40D2D8B2" w14:textId="77777777" w:rsidTr="009E5F4C">
        <w:tc>
          <w:tcPr>
            <w:tcW w:w="9016" w:type="dxa"/>
          </w:tcPr>
          <w:p w14:paraId="38DAE6BE" w14:textId="5D63F0CC" w:rsidR="009E5F4C" w:rsidRDefault="009E5F4C" w:rsidP="009E5F4C">
            <w:pPr>
              <w:jc w:val="center"/>
              <w:rPr>
                <w:rFonts w:asciiTheme="minorHAnsi" w:hAnsiTheme="minorHAnsi" w:cs="Arial"/>
                <w:b/>
                <w:sz w:val="20"/>
                <w:szCs w:val="20"/>
              </w:rPr>
            </w:pPr>
            <w:r w:rsidRPr="00FE06B2">
              <w:rPr>
                <w:rFonts w:asciiTheme="minorHAnsi" w:hAnsiTheme="minorHAnsi"/>
                <w:b/>
                <w:sz w:val="20"/>
                <w:szCs w:val="20"/>
              </w:rPr>
              <w:t>Legislation and Landmark Cases</w:t>
            </w:r>
          </w:p>
        </w:tc>
      </w:tr>
      <w:tr w:rsidR="009E5F4C" w14:paraId="0D522D51" w14:textId="77777777" w:rsidTr="009E5F4C">
        <w:tc>
          <w:tcPr>
            <w:tcW w:w="9016" w:type="dxa"/>
          </w:tcPr>
          <w:p w14:paraId="791268BA" w14:textId="77777777" w:rsidR="00E03C65" w:rsidRDefault="00E03C65" w:rsidP="009E5F4C">
            <w:pPr>
              <w:spacing w:after="160"/>
              <w:rPr>
                <w:rFonts w:asciiTheme="minorHAnsi" w:hAnsiTheme="minorHAnsi"/>
                <w:sz w:val="20"/>
                <w:szCs w:val="20"/>
              </w:rPr>
            </w:pPr>
            <w:r w:rsidRPr="00FE06B2">
              <w:rPr>
                <w:rFonts w:asciiTheme="minorHAnsi" w:hAnsiTheme="minorHAnsi"/>
                <w:sz w:val="20"/>
                <w:szCs w:val="20"/>
              </w:rPr>
              <w:t>A-G Reference (No.3 of 1994)</w:t>
            </w:r>
            <w:r>
              <w:rPr>
                <w:rFonts w:asciiTheme="minorHAnsi" w:hAnsiTheme="minorHAnsi"/>
                <w:sz w:val="20"/>
                <w:szCs w:val="20"/>
              </w:rPr>
              <w:t xml:space="preserve"> </w:t>
            </w:r>
            <w:r w:rsidRPr="00FE06B2">
              <w:rPr>
                <w:rFonts w:asciiTheme="minorHAnsi" w:hAnsiTheme="minorHAnsi"/>
                <w:sz w:val="20"/>
                <w:szCs w:val="20"/>
              </w:rPr>
              <w:t>[1997] 3 WLR 421</w:t>
            </w:r>
          </w:p>
          <w:p w14:paraId="4B639B71" w14:textId="514C5980" w:rsidR="009E5F4C" w:rsidRDefault="009E5F4C" w:rsidP="009E5F4C">
            <w:pPr>
              <w:spacing w:after="160"/>
              <w:rPr>
                <w:rFonts w:asciiTheme="minorHAnsi" w:hAnsiTheme="minorHAnsi"/>
                <w:sz w:val="20"/>
                <w:szCs w:val="20"/>
              </w:rPr>
            </w:pPr>
            <w:r w:rsidRPr="00FE06B2">
              <w:rPr>
                <w:rFonts w:asciiTheme="minorHAnsi" w:hAnsiTheme="minorHAnsi"/>
                <w:sz w:val="20"/>
                <w:szCs w:val="20"/>
              </w:rPr>
              <w:t>The Abortion Act 1967</w:t>
            </w:r>
          </w:p>
          <w:p w14:paraId="474F1A4A" w14:textId="77777777" w:rsidR="009E5F4C" w:rsidRPr="00FE06B2" w:rsidRDefault="009E5F4C" w:rsidP="009E5F4C">
            <w:pPr>
              <w:spacing w:after="160"/>
              <w:rPr>
                <w:rFonts w:asciiTheme="minorHAnsi" w:hAnsiTheme="minorHAnsi"/>
                <w:sz w:val="20"/>
                <w:szCs w:val="20"/>
              </w:rPr>
            </w:pPr>
            <w:r w:rsidRPr="00FE06B2">
              <w:rPr>
                <w:rFonts w:asciiTheme="minorHAnsi" w:hAnsiTheme="minorHAnsi"/>
                <w:sz w:val="20"/>
                <w:szCs w:val="20"/>
              </w:rPr>
              <w:t>The Congenital Disabilities (Civil Liability) Act 1976</w:t>
            </w:r>
          </w:p>
          <w:p w14:paraId="73CFFE0D" w14:textId="5248909E" w:rsidR="009E5F4C" w:rsidRPr="00E03C65" w:rsidRDefault="009E5F4C" w:rsidP="00E03C65">
            <w:pPr>
              <w:spacing w:after="160"/>
              <w:rPr>
                <w:rFonts w:asciiTheme="minorHAnsi" w:hAnsiTheme="minorHAnsi"/>
                <w:sz w:val="20"/>
                <w:szCs w:val="20"/>
              </w:rPr>
            </w:pPr>
            <w:r w:rsidRPr="00FE06B2">
              <w:rPr>
                <w:rFonts w:asciiTheme="minorHAnsi" w:hAnsiTheme="minorHAnsi"/>
                <w:sz w:val="20"/>
                <w:szCs w:val="20"/>
              </w:rPr>
              <w:t>Human Fertilisation and Embryology Act 1990</w:t>
            </w:r>
          </w:p>
        </w:tc>
      </w:tr>
    </w:tbl>
    <w:p w14:paraId="12B4DE3D" w14:textId="77777777" w:rsidR="009E5F4C" w:rsidRDefault="009E5F4C" w:rsidP="00EC2535">
      <w:pPr>
        <w:jc w:val="both"/>
        <w:rPr>
          <w:rFonts w:asciiTheme="minorHAnsi" w:hAnsiTheme="minorHAnsi" w:cs="Arial"/>
          <w:b/>
          <w:sz w:val="20"/>
          <w:szCs w:val="20"/>
        </w:rPr>
      </w:pPr>
    </w:p>
    <w:p w14:paraId="4824002E" w14:textId="629A0E25" w:rsidR="00670E4A" w:rsidRDefault="00670E4A">
      <w:pPr>
        <w:rPr>
          <w:rFonts w:asciiTheme="minorHAnsi" w:hAnsiTheme="minorHAnsi" w:cs="Arial"/>
          <w:b/>
          <w:sz w:val="20"/>
          <w:szCs w:val="20"/>
        </w:rPr>
      </w:pPr>
      <w:r>
        <w:rPr>
          <w:rFonts w:asciiTheme="minorHAnsi" w:hAnsiTheme="minorHAnsi" w:cs="Arial"/>
          <w:b/>
          <w:sz w:val="20"/>
          <w:szCs w:val="20"/>
        </w:rPr>
        <w:br w:type="page"/>
      </w:r>
    </w:p>
    <w:p w14:paraId="2827CE70" w14:textId="77777777" w:rsidR="00670E4A" w:rsidRPr="003867BC" w:rsidRDefault="00670E4A" w:rsidP="00670E4A">
      <w:pPr>
        <w:autoSpaceDE w:val="0"/>
        <w:autoSpaceDN w:val="0"/>
        <w:adjustRightInd w:val="0"/>
        <w:jc w:val="center"/>
        <w:rPr>
          <w:rFonts w:asciiTheme="minorHAnsi" w:hAnsiTheme="minorHAnsi"/>
          <w:b/>
          <w:bCs/>
          <w:iCs/>
          <w:caps/>
        </w:rPr>
      </w:pPr>
      <w:r w:rsidRPr="003867BC">
        <w:rPr>
          <w:rFonts w:asciiTheme="minorHAnsi" w:hAnsiTheme="minorHAnsi"/>
          <w:b/>
          <w:bCs/>
          <w:iCs/>
          <w:caps/>
        </w:rPr>
        <w:t>Towards the end of life</w:t>
      </w:r>
    </w:p>
    <w:p w14:paraId="1A275D7B" w14:textId="77777777" w:rsidR="00670E4A" w:rsidRPr="00FE06B2" w:rsidRDefault="00670E4A" w:rsidP="00670E4A">
      <w:pPr>
        <w:autoSpaceDE w:val="0"/>
        <w:autoSpaceDN w:val="0"/>
        <w:adjustRightInd w:val="0"/>
        <w:jc w:val="center"/>
        <w:rPr>
          <w:rFonts w:asciiTheme="minorHAnsi" w:hAnsiTheme="minorHAnsi"/>
          <w:sz w:val="20"/>
          <w:szCs w:val="20"/>
        </w:rPr>
      </w:pPr>
    </w:p>
    <w:p w14:paraId="7339F366" w14:textId="77777777" w:rsidR="00670E4A" w:rsidRPr="00FE06B2" w:rsidRDefault="00670E4A" w:rsidP="00670E4A">
      <w:pPr>
        <w:autoSpaceDE w:val="0"/>
        <w:autoSpaceDN w:val="0"/>
        <w:adjustRightInd w:val="0"/>
        <w:jc w:val="center"/>
        <w:rPr>
          <w:rFonts w:asciiTheme="minorHAnsi" w:hAnsiTheme="minorHAnsi"/>
          <w:sz w:val="20"/>
          <w:szCs w:val="20"/>
        </w:rPr>
      </w:pPr>
    </w:p>
    <w:p w14:paraId="113B8758" w14:textId="5E3B9BF5" w:rsidR="00670E4A" w:rsidRPr="00FE06B2" w:rsidRDefault="00670E4A" w:rsidP="00657DAE">
      <w:pPr>
        <w:autoSpaceDE w:val="0"/>
        <w:autoSpaceDN w:val="0"/>
        <w:adjustRightInd w:val="0"/>
        <w:jc w:val="both"/>
        <w:rPr>
          <w:rFonts w:asciiTheme="minorHAnsi" w:hAnsiTheme="minorHAnsi"/>
          <w:sz w:val="20"/>
          <w:szCs w:val="20"/>
        </w:rPr>
      </w:pPr>
      <w:r w:rsidRPr="00FE06B2">
        <w:rPr>
          <w:rFonts w:asciiTheme="minorHAnsi" w:hAnsiTheme="minorHAnsi"/>
          <w:sz w:val="20"/>
          <w:szCs w:val="20"/>
        </w:rPr>
        <w:t xml:space="preserve">Decisions about end of life care will occur in </w:t>
      </w:r>
      <w:r w:rsidR="00E03C65">
        <w:rPr>
          <w:rFonts w:asciiTheme="minorHAnsi" w:hAnsiTheme="minorHAnsi"/>
          <w:sz w:val="20"/>
          <w:szCs w:val="20"/>
        </w:rPr>
        <w:t>many</w:t>
      </w:r>
      <w:r w:rsidRPr="00FE06B2">
        <w:rPr>
          <w:rFonts w:asciiTheme="minorHAnsi" w:hAnsiTheme="minorHAnsi"/>
          <w:sz w:val="20"/>
          <w:szCs w:val="20"/>
        </w:rPr>
        <w:t xml:space="preserve"> medical contexts – such as, general practice, paediatrics, care of the elderly, intensive care, palliative care, emergency medicine, and oncology – and so are decisions that most doctors will face at some point. </w:t>
      </w:r>
      <w:r>
        <w:rPr>
          <w:rFonts w:asciiTheme="minorHAnsi" w:hAnsiTheme="minorHAnsi"/>
          <w:sz w:val="20"/>
          <w:szCs w:val="20"/>
        </w:rPr>
        <w:t xml:space="preserve"> </w:t>
      </w:r>
      <w:r w:rsidRPr="00FE06B2">
        <w:rPr>
          <w:rFonts w:asciiTheme="minorHAnsi" w:hAnsiTheme="minorHAnsi"/>
          <w:sz w:val="20"/>
          <w:szCs w:val="20"/>
        </w:rPr>
        <w:t>Key considerations include</w:t>
      </w:r>
      <w:r>
        <w:rPr>
          <w:rFonts w:asciiTheme="minorHAnsi" w:hAnsiTheme="minorHAnsi"/>
          <w:sz w:val="20"/>
          <w:szCs w:val="20"/>
        </w:rPr>
        <w:t>:</w:t>
      </w:r>
      <w:r w:rsidRPr="00FE06B2">
        <w:rPr>
          <w:rFonts w:asciiTheme="minorHAnsi" w:hAnsiTheme="minorHAnsi"/>
          <w:sz w:val="20"/>
          <w:szCs w:val="20"/>
        </w:rPr>
        <w:t xml:space="preserve"> </w:t>
      </w:r>
      <w:r>
        <w:rPr>
          <w:rFonts w:asciiTheme="minorHAnsi" w:hAnsiTheme="minorHAnsi"/>
          <w:sz w:val="20"/>
          <w:szCs w:val="20"/>
        </w:rPr>
        <w:t>q</w:t>
      </w:r>
      <w:r w:rsidRPr="00FE06B2">
        <w:rPr>
          <w:rFonts w:asciiTheme="minorHAnsi" w:hAnsiTheme="minorHAnsi"/>
          <w:sz w:val="20"/>
          <w:szCs w:val="20"/>
        </w:rPr>
        <w:t>uality and sanctity of life,</w:t>
      </w:r>
      <w:r>
        <w:rPr>
          <w:rFonts w:asciiTheme="minorHAnsi" w:hAnsiTheme="minorHAnsi"/>
          <w:sz w:val="20"/>
          <w:szCs w:val="20"/>
        </w:rPr>
        <w:t xml:space="preserve"> </w:t>
      </w:r>
      <w:r w:rsidRPr="00FE06B2">
        <w:rPr>
          <w:rFonts w:asciiTheme="minorHAnsi" w:hAnsiTheme="minorHAnsi"/>
          <w:sz w:val="20"/>
          <w:szCs w:val="20"/>
        </w:rPr>
        <w:t xml:space="preserve">the role of patient autonomy, advance or contemporaneous decisions to refuse treatments, dignity, patients’ values, consideration for the family, the concept of futility when making decisions about treatment, and how these relate to discussions around patient’s best interests and quality of life. It is important to consider these in the context of respect for diverse cultural practices of patients and families. </w:t>
      </w:r>
    </w:p>
    <w:p w14:paraId="33C3F50A" w14:textId="77777777" w:rsidR="00670E4A" w:rsidRPr="00FE06B2" w:rsidRDefault="00670E4A" w:rsidP="00657DAE">
      <w:pPr>
        <w:spacing w:line="276" w:lineRule="auto"/>
        <w:jc w:val="both"/>
        <w:rPr>
          <w:rFonts w:asciiTheme="minorHAnsi" w:hAnsiTheme="minorHAnsi"/>
          <w:sz w:val="20"/>
          <w:szCs w:val="20"/>
        </w:rPr>
      </w:pPr>
    </w:p>
    <w:p w14:paraId="7F9C51B4" w14:textId="548739F1" w:rsidR="00670E4A" w:rsidRDefault="00670E4A" w:rsidP="00657DAE">
      <w:pPr>
        <w:spacing w:line="276" w:lineRule="auto"/>
        <w:jc w:val="both"/>
        <w:rPr>
          <w:rFonts w:asciiTheme="minorHAnsi" w:hAnsiTheme="minorHAnsi"/>
          <w:sz w:val="20"/>
          <w:szCs w:val="20"/>
        </w:rPr>
      </w:pPr>
      <w:r w:rsidRPr="00FE06B2">
        <w:rPr>
          <w:rFonts w:asciiTheme="minorHAnsi" w:hAnsiTheme="minorHAnsi"/>
          <w:sz w:val="20"/>
          <w:szCs w:val="20"/>
        </w:rPr>
        <w:t>You may also wish to include: the debate about physician-assisted dying (including the legal position in the UK and advice from professional bodies such as the GMC and BMA on this</w:t>
      </w:r>
      <w:r>
        <w:rPr>
          <w:rFonts w:asciiTheme="minorHAnsi" w:hAnsiTheme="minorHAnsi"/>
          <w:sz w:val="20"/>
          <w:szCs w:val="20"/>
        </w:rPr>
        <w:t>)</w:t>
      </w:r>
      <w:r w:rsidRPr="00FE06B2">
        <w:rPr>
          <w:rFonts w:asciiTheme="minorHAnsi" w:hAnsiTheme="minorHAnsi"/>
          <w:sz w:val="20"/>
          <w:szCs w:val="20"/>
        </w:rPr>
        <w:t xml:space="preserve">; definitions of death, and how this relates to concepts of personhood and the process of </w:t>
      </w:r>
      <w:r w:rsidR="00657DAE">
        <w:rPr>
          <w:rFonts w:asciiTheme="minorHAnsi" w:hAnsiTheme="minorHAnsi"/>
          <w:sz w:val="20"/>
          <w:szCs w:val="20"/>
        </w:rPr>
        <w:t>death certification.</w:t>
      </w:r>
    </w:p>
    <w:p w14:paraId="62C6BD52" w14:textId="7D59ECC5" w:rsidR="009E3104" w:rsidRDefault="009E3104" w:rsidP="00657DAE">
      <w:pPr>
        <w:spacing w:line="276" w:lineRule="auto"/>
        <w:jc w:val="both"/>
        <w:rPr>
          <w:rFonts w:asciiTheme="minorHAnsi" w:hAnsiTheme="minorHAnsi"/>
          <w:sz w:val="20"/>
          <w:szCs w:val="20"/>
        </w:rPr>
      </w:pPr>
    </w:p>
    <w:tbl>
      <w:tblPr>
        <w:tblStyle w:val="TableGrid"/>
        <w:tblW w:w="0" w:type="auto"/>
        <w:tblLook w:val="04A0" w:firstRow="1" w:lastRow="0" w:firstColumn="1" w:lastColumn="0" w:noHBand="0" w:noVBand="1"/>
      </w:tblPr>
      <w:tblGrid>
        <w:gridCol w:w="9016"/>
      </w:tblGrid>
      <w:tr w:rsidR="009E3104" w14:paraId="1C2BC65A" w14:textId="77777777" w:rsidTr="009E3104">
        <w:tc>
          <w:tcPr>
            <w:tcW w:w="9016" w:type="dxa"/>
          </w:tcPr>
          <w:p w14:paraId="74528100" w14:textId="0265777B" w:rsidR="009E3104" w:rsidRPr="009E3104" w:rsidRDefault="009E3104" w:rsidP="009E3104">
            <w:pPr>
              <w:spacing w:line="276" w:lineRule="auto"/>
              <w:jc w:val="center"/>
              <w:rPr>
                <w:rFonts w:asciiTheme="minorHAnsi" w:hAnsiTheme="minorHAnsi"/>
                <w:b/>
                <w:bCs/>
                <w:sz w:val="20"/>
                <w:szCs w:val="20"/>
              </w:rPr>
            </w:pPr>
            <w:r w:rsidRPr="009E3104">
              <w:rPr>
                <w:rFonts w:asciiTheme="minorHAnsi" w:hAnsiTheme="minorHAnsi"/>
                <w:b/>
                <w:bCs/>
                <w:sz w:val="20"/>
                <w:szCs w:val="20"/>
              </w:rPr>
              <w:t>Useful Resources</w:t>
            </w:r>
          </w:p>
        </w:tc>
      </w:tr>
      <w:tr w:rsidR="009E3104" w14:paraId="028235CC" w14:textId="77777777" w:rsidTr="009E3104">
        <w:tc>
          <w:tcPr>
            <w:tcW w:w="9016" w:type="dxa"/>
          </w:tcPr>
          <w:p w14:paraId="6565BC27" w14:textId="77777777" w:rsidR="00E03C65" w:rsidRPr="00FE06B2" w:rsidRDefault="00E03C65" w:rsidP="00E03C65">
            <w:pPr>
              <w:rPr>
                <w:rFonts w:asciiTheme="minorHAnsi" w:hAnsiTheme="minorHAnsi"/>
                <w:sz w:val="20"/>
                <w:szCs w:val="20"/>
              </w:rPr>
            </w:pPr>
            <w:r w:rsidRPr="00FE06B2">
              <w:rPr>
                <w:rFonts w:asciiTheme="minorHAnsi" w:hAnsiTheme="minorHAnsi"/>
                <w:sz w:val="20"/>
                <w:szCs w:val="20"/>
              </w:rPr>
              <w:t xml:space="preserve">Assisted suicide: responding to patient requests – Guidance for Doctors in England, Wales and Northern Ireland. BMA 2015. </w:t>
            </w:r>
          </w:p>
          <w:p w14:paraId="38A1EE57" w14:textId="77777777" w:rsidR="00E03C65" w:rsidRDefault="00E03C65" w:rsidP="009E3104">
            <w:pPr>
              <w:rPr>
                <w:rFonts w:asciiTheme="minorHAnsi" w:hAnsiTheme="minorHAnsi" w:cstheme="minorHAnsi"/>
                <w:sz w:val="20"/>
                <w:szCs w:val="20"/>
              </w:rPr>
            </w:pPr>
          </w:p>
          <w:p w14:paraId="01BEB5EE" w14:textId="0AF01D55" w:rsidR="009E3104" w:rsidRPr="009E3104" w:rsidRDefault="009E3104" w:rsidP="009E3104">
            <w:pPr>
              <w:rPr>
                <w:rFonts w:asciiTheme="minorHAnsi" w:hAnsiTheme="minorHAnsi" w:cstheme="minorHAnsi"/>
                <w:sz w:val="20"/>
                <w:szCs w:val="20"/>
              </w:rPr>
            </w:pPr>
            <w:r w:rsidRPr="009E3104">
              <w:rPr>
                <w:rFonts w:asciiTheme="minorHAnsi" w:hAnsiTheme="minorHAnsi" w:cstheme="minorHAnsi"/>
                <w:sz w:val="20"/>
                <w:szCs w:val="20"/>
              </w:rPr>
              <w:t xml:space="preserve">BMA End of Life and Physician Assisted Dying Project.  </w:t>
            </w:r>
            <w:hyperlink r:id="rId46" w:history="1">
              <w:r w:rsidRPr="009E3104">
                <w:rPr>
                  <w:rStyle w:val="Hyperlink"/>
                  <w:rFonts w:asciiTheme="minorHAnsi" w:eastAsiaTheme="majorEastAsia" w:hAnsiTheme="minorHAnsi" w:cstheme="minorHAnsi"/>
                  <w:sz w:val="20"/>
                  <w:szCs w:val="20"/>
                </w:rPr>
                <w:t>https://www.bma.org.uk/advice-and-support/ethics/end-of-life/end-of-life-care-and-physician-assisted-dying-project</w:t>
              </w:r>
            </w:hyperlink>
          </w:p>
          <w:p w14:paraId="60801CC1" w14:textId="77777777" w:rsidR="009E3104" w:rsidRPr="009E3104" w:rsidRDefault="009E3104" w:rsidP="009E3104">
            <w:pPr>
              <w:rPr>
                <w:rFonts w:asciiTheme="minorHAnsi" w:hAnsiTheme="minorHAnsi" w:cstheme="minorHAnsi"/>
                <w:sz w:val="20"/>
                <w:szCs w:val="20"/>
              </w:rPr>
            </w:pPr>
          </w:p>
          <w:p w14:paraId="668C2C95" w14:textId="752E0690" w:rsidR="009E3104" w:rsidRPr="00FE06B2" w:rsidRDefault="001673C8" w:rsidP="009E3104">
            <w:pPr>
              <w:rPr>
                <w:rFonts w:asciiTheme="minorHAnsi" w:hAnsiTheme="minorHAnsi"/>
                <w:sz w:val="20"/>
                <w:szCs w:val="20"/>
              </w:rPr>
            </w:pPr>
            <w:hyperlink r:id="rId47" w:history="1">
              <w:r w:rsidR="009E3104" w:rsidRPr="00FE06B2">
                <w:rPr>
                  <w:rStyle w:val="Hyperlink"/>
                  <w:rFonts w:asciiTheme="minorHAnsi" w:hAnsiTheme="minorHAnsi"/>
                  <w:sz w:val="20"/>
                  <w:szCs w:val="20"/>
                </w:rPr>
                <w:t>Clinically assisted nutrition and hydration (CANH) and adults who lack capacity to consent. BMA 2018</w:t>
              </w:r>
            </w:hyperlink>
            <w:r w:rsidR="009E3104" w:rsidRPr="00FE06B2">
              <w:rPr>
                <w:rFonts w:asciiTheme="minorHAnsi" w:hAnsiTheme="minorHAnsi"/>
                <w:sz w:val="20"/>
                <w:szCs w:val="20"/>
              </w:rPr>
              <w:t xml:space="preserve"> This contains a useful list of the landmark legal cases on withdrawal of CANH</w:t>
            </w:r>
          </w:p>
          <w:p w14:paraId="2A973A61" w14:textId="77777777" w:rsidR="009E3104" w:rsidRPr="00FE06B2" w:rsidRDefault="009E3104" w:rsidP="009E3104">
            <w:pPr>
              <w:rPr>
                <w:rFonts w:asciiTheme="minorHAnsi" w:hAnsiTheme="minorHAnsi"/>
                <w:sz w:val="20"/>
                <w:szCs w:val="20"/>
              </w:rPr>
            </w:pPr>
          </w:p>
          <w:p w14:paraId="3B8A71A6" w14:textId="6A47F9EB" w:rsidR="00BF7670" w:rsidRPr="00BF7670" w:rsidRDefault="00BF7670" w:rsidP="009E3104">
            <w:pPr>
              <w:rPr>
                <w:rFonts w:asciiTheme="minorHAnsi" w:hAnsiTheme="minorHAnsi" w:cstheme="minorHAnsi"/>
                <w:sz w:val="20"/>
                <w:szCs w:val="20"/>
              </w:rPr>
            </w:pPr>
            <w:r w:rsidRPr="00BF7670">
              <w:rPr>
                <w:rFonts w:asciiTheme="minorHAnsi" w:hAnsiTheme="minorHAnsi" w:cstheme="minorHAnsi"/>
                <w:sz w:val="20"/>
                <w:szCs w:val="20"/>
              </w:rPr>
              <w:t xml:space="preserve">Demos (2012).  Commission on Assisted Dying </w:t>
            </w:r>
            <w:hyperlink r:id="rId48" w:history="1">
              <w:r w:rsidRPr="00BF7670">
                <w:rPr>
                  <w:rStyle w:val="Hyperlink"/>
                  <w:rFonts w:asciiTheme="minorHAnsi" w:eastAsiaTheme="majorEastAsia" w:hAnsiTheme="minorHAnsi" w:cstheme="minorHAnsi"/>
                  <w:sz w:val="20"/>
                  <w:szCs w:val="20"/>
                </w:rPr>
                <w:t>https://demos.co.uk/project/the-commission-on-assisted-dying/</w:t>
              </w:r>
            </w:hyperlink>
          </w:p>
          <w:p w14:paraId="5454D5B1" w14:textId="77777777" w:rsidR="00BF7670" w:rsidRDefault="00BF7670" w:rsidP="009E3104">
            <w:pPr>
              <w:rPr>
                <w:rFonts w:asciiTheme="minorHAnsi" w:hAnsiTheme="minorHAnsi"/>
                <w:sz w:val="20"/>
                <w:szCs w:val="20"/>
              </w:rPr>
            </w:pPr>
          </w:p>
          <w:p w14:paraId="4D9B69D9" w14:textId="1A68D3C0" w:rsidR="009E3104" w:rsidRPr="00FE06B2" w:rsidRDefault="009E3104" w:rsidP="009E3104">
            <w:pPr>
              <w:rPr>
                <w:rFonts w:asciiTheme="minorHAnsi" w:hAnsiTheme="minorHAnsi"/>
                <w:sz w:val="20"/>
                <w:szCs w:val="20"/>
              </w:rPr>
            </w:pPr>
            <w:r w:rsidRPr="00FE06B2">
              <w:rPr>
                <w:rFonts w:asciiTheme="minorHAnsi" w:hAnsiTheme="minorHAnsi"/>
                <w:sz w:val="20"/>
                <w:szCs w:val="20"/>
              </w:rPr>
              <w:t>McGee</w:t>
            </w:r>
            <w:r w:rsidR="00E03C65">
              <w:rPr>
                <w:rFonts w:asciiTheme="minorHAnsi" w:hAnsiTheme="minorHAnsi"/>
                <w:sz w:val="20"/>
                <w:szCs w:val="20"/>
              </w:rPr>
              <w:t>, A</w:t>
            </w:r>
            <w:r w:rsidRPr="00FE06B2">
              <w:rPr>
                <w:rFonts w:asciiTheme="minorHAnsi" w:hAnsiTheme="minorHAnsi"/>
                <w:sz w:val="20"/>
                <w:szCs w:val="20"/>
              </w:rPr>
              <w:t>. Finding a way through the ethical and legal maze: withdrawal of medical treatment and euthanasia. Medical Law Review 13, Autumn 2005 357-385.</w:t>
            </w:r>
          </w:p>
          <w:p w14:paraId="5E3897FA" w14:textId="77777777" w:rsidR="009E3104" w:rsidRPr="00FE06B2" w:rsidRDefault="009E3104" w:rsidP="009E3104">
            <w:pPr>
              <w:rPr>
                <w:rFonts w:asciiTheme="minorHAnsi" w:hAnsiTheme="minorHAnsi"/>
                <w:sz w:val="20"/>
                <w:szCs w:val="20"/>
              </w:rPr>
            </w:pPr>
          </w:p>
          <w:p w14:paraId="3C2B2C1C" w14:textId="77777777" w:rsidR="009E3104" w:rsidRPr="00FE06B2" w:rsidRDefault="009E3104" w:rsidP="009E3104">
            <w:pPr>
              <w:rPr>
                <w:rFonts w:asciiTheme="minorHAnsi" w:eastAsia="FreeSans" w:hAnsiTheme="minorHAnsi"/>
                <w:sz w:val="20"/>
                <w:szCs w:val="20"/>
              </w:rPr>
            </w:pPr>
            <w:r w:rsidRPr="00FE06B2">
              <w:rPr>
                <w:rFonts w:asciiTheme="minorHAnsi" w:hAnsiTheme="minorHAnsi"/>
                <w:sz w:val="20"/>
                <w:szCs w:val="20"/>
              </w:rPr>
              <w:t xml:space="preserve">Editorial – Why the Assisted Dying Bill should become law in England and Wales. BMJ </w:t>
            </w:r>
            <w:r w:rsidRPr="00FE06B2">
              <w:rPr>
                <w:rFonts w:asciiTheme="minorHAnsi" w:eastAsia="FreeSans" w:hAnsiTheme="minorHAnsi"/>
                <w:sz w:val="20"/>
                <w:szCs w:val="20"/>
              </w:rPr>
              <w:t>2014;349:g4349</w:t>
            </w:r>
          </w:p>
          <w:p w14:paraId="5F48034A" w14:textId="77777777" w:rsidR="009E3104" w:rsidRPr="00FE06B2" w:rsidRDefault="009E3104" w:rsidP="009E3104">
            <w:pPr>
              <w:rPr>
                <w:rFonts w:asciiTheme="minorHAnsi" w:eastAsia="FreeSans" w:hAnsiTheme="minorHAnsi"/>
                <w:sz w:val="20"/>
                <w:szCs w:val="20"/>
              </w:rPr>
            </w:pPr>
          </w:p>
          <w:p w14:paraId="68B314E8" w14:textId="77777777" w:rsidR="009E3104" w:rsidRPr="003867BC" w:rsidRDefault="009E3104" w:rsidP="009E3104">
            <w:pPr>
              <w:rPr>
                <w:rFonts w:asciiTheme="minorHAnsi" w:eastAsia="FreeSans" w:hAnsiTheme="minorHAnsi"/>
                <w:sz w:val="20"/>
                <w:szCs w:val="20"/>
              </w:rPr>
            </w:pPr>
            <w:r w:rsidRPr="003867BC">
              <w:rPr>
                <w:rFonts w:asciiTheme="minorHAnsi" w:eastAsia="FreeSans" w:hAnsiTheme="minorHAnsi"/>
                <w:sz w:val="20"/>
                <w:szCs w:val="20"/>
              </w:rPr>
              <w:t>Wyatt J. 2015. Right to Die? Euthanasia assisted suicide and end of life care. IVP, UK</w:t>
            </w:r>
          </w:p>
          <w:p w14:paraId="3935FF1E" w14:textId="77777777" w:rsidR="009E3104" w:rsidRPr="003867BC" w:rsidRDefault="009E3104" w:rsidP="009E3104">
            <w:pPr>
              <w:rPr>
                <w:rFonts w:asciiTheme="minorHAnsi" w:eastAsia="FreeSans" w:hAnsiTheme="minorHAnsi"/>
                <w:sz w:val="20"/>
                <w:szCs w:val="20"/>
              </w:rPr>
            </w:pPr>
          </w:p>
          <w:p w14:paraId="6788FEE2" w14:textId="77777777" w:rsidR="009E3104" w:rsidRPr="003867BC" w:rsidRDefault="009E3104" w:rsidP="009E3104">
            <w:pPr>
              <w:rPr>
                <w:rFonts w:asciiTheme="minorHAnsi" w:eastAsia="FreeSans" w:hAnsiTheme="minorHAnsi"/>
                <w:sz w:val="20"/>
                <w:szCs w:val="20"/>
              </w:rPr>
            </w:pPr>
            <w:r w:rsidRPr="003867BC">
              <w:rPr>
                <w:rFonts w:asciiTheme="minorHAnsi" w:eastAsia="FreeSans" w:hAnsiTheme="minorHAnsi"/>
                <w:sz w:val="20"/>
                <w:szCs w:val="20"/>
              </w:rPr>
              <w:t>Hauerwas, S. and Bondi, R. Memory, Community and Reasons for Living: Theological and Ethical Reflections on Suicide and Euthanasia. JAAR 1976;44(3): 439-452</w:t>
            </w:r>
          </w:p>
          <w:p w14:paraId="56652D28" w14:textId="77777777" w:rsidR="009E3104" w:rsidRDefault="009E3104" w:rsidP="00657DAE">
            <w:pPr>
              <w:spacing w:line="276" w:lineRule="auto"/>
              <w:jc w:val="both"/>
              <w:rPr>
                <w:rFonts w:asciiTheme="minorHAnsi" w:hAnsiTheme="minorHAnsi"/>
                <w:sz w:val="20"/>
                <w:szCs w:val="20"/>
              </w:rPr>
            </w:pPr>
          </w:p>
        </w:tc>
      </w:tr>
    </w:tbl>
    <w:p w14:paraId="7DDD36AD" w14:textId="77777777" w:rsidR="009E3104" w:rsidRPr="00FE06B2" w:rsidRDefault="009E3104" w:rsidP="00657DAE">
      <w:pPr>
        <w:spacing w:line="276" w:lineRule="auto"/>
        <w:jc w:val="both"/>
        <w:rPr>
          <w:rFonts w:asciiTheme="minorHAnsi" w:hAnsiTheme="minorHAnsi"/>
          <w:sz w:val="20"/>
          <w:szCs w:val="20"/>
        </w:rPr>
      </w:pPr>
    </w:p>
    <w:tbl>
      <w:tblPr>
        <w:tblStyle w:val="TableGrid"/>
        <w:tblW w:w="0" w:type="auto"/>
        <w:tblLook w:val="04A0" w:firstRow="1" w:lastRow="0" w:firstColumn="1" w:lastColumn="0" w:noHBand="0" w:noVBand="1"/>
      </w:tblPr>
      <w:tblGrid>
        <w:gridCol w:w="9016"/>
      </w:tblGrid>
      <w:tr w:rsidR="009E3104" w14:paraId="17766FC1" w14:textId="77777777" w:rsidTr="009E3104">
        <w:tc>
          <w:tcPr>
            <w:tcW w:w="9016" w:type="dxa"/>
          </w:tcPr>
          <w:p w14:paraId="19095E61" w14:textId="23B4EDB1" w:rsidR="009E3104" w:rsidRPr="009E3104" w:rsidRDefault="009E3104" w:rsidP="009E3104">
            <w:pPr>
              <w:spacing w:line="276" w:lineRule="auto"/>
              <w:jc w:val="center"/>
              <w:rPr>
                <w:rFonts w:asciiTheme="minorHAnsi" w:hAnsiTheme="minorHAnsi"/>
                <w:b/>
                <w:bCs/>
                <w:sz w:val="20"/>
                <w:szCs w:val="20"/>
              </w:rPr>
            </w:pPr>
            <w:r w:rsidRPr="009E3104">
              <w:rPr>
                <w:rFonts w:asciiTheme="minorHAnsi" w:hAnsiTheme="minorHAnsi"/>
                <w:b/>
                <w:bCs/>
                <w:sz w:val="20"/>
                <w:szCs w:val="20"/>
              </w:rPr>
              <w:t>Legislation</w:t>
            </w:r>
            <w:r w:rsidR="00D71FA8">
              <w:rPr>
                <w:rFonts w:asciiTheme="minorHAnsi" w:hAnsiTheme="minorHAnsi"/>
                <w:b/>
                <w:bCs/>
                <w:sz w:val="20"/>
                <w:szCs w:val="20"/>
              </w:rPr>
              <w:t xml:space="preserve"> and </w:t>
            </w:r>
            <w:r w:rsidRPr="009E3104">
              <w:rPr>
                <w:rFonts w:asciiTheme="minorHAnsi" w:hAnsiTheme="minorHAnsi"/>
                <w:b/>
                <w:bCs/>
                <w:sz w:val="20"/>
                <w:szCs w:val="20"/>
              </w:rPr>
              <w:t>Landmark Cases</w:t>
            </w:r>
          </w:p>
        </w:tc>
      </w:tr>
      <w:tr w:rsidR="009E3104" w14:paraId="560E2288" w14:textId="77777777" w:rsidTr="009E3104">
        <w:tc>
          <w:tcPr>
            <w:tcW w:w="9016" w:type="dxa"/>
          </w:tcPr>
          <w:p w14:paraId="22772914" w14:textId="77777777" w:rsidR="00E03C65" w:rsidRPr="00FE06B2" w:rsidRDefault="00E03C65" w:rsidP="00E03C65">
            <w:pPr>
              <w:autoSpaceDE w:val="0"/>
              <w:autoSpaceDN w:val="0"/>
              <w:adjustRightInd w:val="0"/>
              <w:spacing w:line="360" w:lineRule="auto"/>
              <w:rPr>
                <w:rFonts w:asciiTheme="minorHAnsi" w:hAnsiTheme="minorHAnsi" w:cstheme="majorBidi"/>
                <w:color w:val="000000"/>
                <w:sz w:val="20"/>
                <w:szCs w:val="20"/>
              </w:rPr>
            </w:pPr>
            <w:r w:rsidRPr="00FE06B2">
              <w:rPr>
                <w:rFonts w:asciiTheme="minorHAnsi" w:hAnsiTheme="minorHAnsi" w:cstheme="majorBidi"/>
                <w:color w:val="000000"/>
                <w:sz w:val="20"/>
                <w:szCs w:val="20"/>
              </w:rPr>
              <w:t>Tony Bland 1993: Airedale NHS Trust v Bland</w:t>
            </w:r>
          </w:p>
          <w:p w14:paraId="41987AD4" w14:textId="77777777" w:rsidR="00E03C65" w:rsidRPr="00FE06B2" w:rsidRDefault="00E03C65" w:rsidP="00E03C65">
            <w:pPr>
              <w:autoSpaceDE w:val="0"/>
              <w:autoSpaceDN w:val="0"/>
              <w:adjustRightInd w:val="0"/>
              <w:spacing w:line="360" w:lineRule="auto"/>
              <w:rPr>
                <w:rFonts w:asciiTheme="minorHAnsi" w:hAnsiTheme="minorHAnsi" w:cstheme="majorBidi"/>
                <w:color w:val="000000"/>
                <w:sz w:val="20"/>
                <w:szCs w:val="20"/>
              </w:rPr>
            </w:pPr>
            <w:r w:rsidRPr="00FE06B2">
              <w:rPr>
                <w:rFonts w:asciiTheme="minorHAnsi" w:hAnsiTheme="minorHAnsi" w:cstheme="majorBidi"/>
                <w:color w:val="000000"/>
                <w:sz w:val="20"/>
                <w:szCs w:val="20"/>
              </w:rPr>
              <w:t>Charlie Gard; Great Ormond Street v Yates and Gard [2017]</w:t>
            </w:r>
          </w:p>
          <w:p w14:paraId="41B56519" w14:textId="77777777" w:rsidR="009E3104" w:rsidRPr="00FE06B2" w:rsidRDefault="009E3104" w:rsidP="009E3104">
            <w:pPr>
              <w:spacing w:after="160" w:line="259" w:lineRule="auto"/>
              <w:rPr>
                <w:rFonts w:asciiTheme="minorHAnsi" w:hAnsiTheme="minorHAnsi"/>
                <w:sz w:val="20"/>
                <w:szCs w:val="20"/>
              </w:rPr>
            </w:pPr>
            <w:r w:rsidRPr="00FE06B2">
              <w:rPr>
                <w:rFonts w:asciiTheme="minorHAnsi" w:hAnsiTheme="minorHAnsi"/>
                <w:sz w:val="20"/>
                <w:szCs w:val="20"/>
              </w:rPr>
              <w:t>Crown Prosecution Service Assisted Suicide Guidance</w:t>
            </w:r>
          </w:p>
          <w:p w14:paraId="41DC6158" w14:textId="35326B94" w:rsidR="00954D43" w:rsidRPr="00954D43" w:rsidRDefault="00954D43" w:rsidP="009E3104">
            <w:pPr>
              <w:autoSpaceDE w:val="0"/>
              <w:autoSpaceDN w:val="0"/>
              <w:adjustRightInd w:val="0"/>
              <w:spacing w:line="360" w:lineRule="auto"/>
              <w:rPr>
                <w:rFonts w:asciiTheme="minorHAnsi" w:hAnsiTheme="minorHAnsi" w:cstheme="minorHAnsi"/>
                <w:color w:val="000000"/>
                <w:sz w:val="20"/>
                <w:szCs w:val="20"/>
              </w:rPr>
            </w:pPr>
            <w:r>
              <w:rPr>
                <w:rFonts w:asciiTheme="minorHAnsi" w:hAnsiTheme="minorHAnsi" w:cstheme="majorBidi"/>
                <w:color w:val="000000"/>
                <w:sz w:val="20"/>
                <w:szCs w:val="20"/>
              </w:rPr>
              <w:t xml:space="preserve">DPP Guidance on Assisted Suicide </w:t>
            </w:r>
            <w:hyperlink r:id="rId49" w:history="1">
              <w:r w:rsidRPr="00954D43">
                <w:rPr>
                  <w:rStyle w:val="Hyperlink"/>
                  <w:rFonts w:asciiTheme="minorHAnsi" w:eastAsiaTheme="majorEastAsia" w:hAnsiTheme="minorHAnsi" w:cstheme="minorHAnsi"/>
                  <w:sz w:val="20"/>
                  <w:szCs w:val="20"/>
                </w:rPr>
                <w:t>https://www.cps.gov.uk/publication/assisted-suicide</w:t>
              </w:r>
            </w:hyperlink>
          </w:p>
          <w:p w14:paraId="66F44F3D" w14:textId="4BACDE63" w:rsidR="009E3104" w:rsidRPr="00FE06B2" w:rsidRDefault="009E3104" w:rsidP="009E3104">
            <w:pPr>
              <w:autoSpaceDE w:val="0"/>
              <w:autoSpaceDN w:val="0"/>
              <w:adjustRightInd w:val="0"/>
              <w:spacing w:line="360" w:lineRule="auto"/>
              <w:rPr>
                <w:rFonts w:asciiTheme="minorHAnsi" w:hAnsiTheme="minorHAnsi" w:cstheme="majorBidi"/>
                <w:color w:val="000000"/>
                <w:sz w:val="20"/>
                <w:szCs w:val="20"/>
              </w:rPr>
            </w:pPr>
            <w:r w:rsidRPr="00FE06B2">
              <w:rPr>
                <w:rFonts w:asciiTheme="minorHAnsi" w:hAnsiTheme="minorHAnsi" w:cstheme="majorBidi"/>
                <w:color w:val="000000"/>
                <w:sz w:val="20"/>
                <w:szCs w:val="20"/>
              </w:rPr>
              <w:t>Leslie Burke v General Medical Council 2005</w:t>
            </w:r>
          </w:p>
          <w:p w14:paraId="6F4FD655" w14:textId="77777777" w:rsidR="00E03C65" w:rsidRPr="00FE06B2" w:rsidRDefault="00E03C65" w:rsidP="00E03C65">
            <w:pPr>
              <w:spacing w:after="160" w:line="259" w:lineRule="auto"/>
              <w:jc w:val="both"/>
              <w:rPr>
                <w:rFonts w:asciiTheme="minorHAnsi" w:hAnsiTheme="minorHAnsi"/>
                <w:sz w:val="20"/>
                <w:szCs w:val="20"/>
              </w:rPr>
            </w:pPr>
            <w:r w:rsidRPr="00FE06B2">
              <w:rPr>
                <w:rFonts w:asciiTheme="minorHAnsi" w:hAnsiTheme="minorHAnsi"/>
                <w:sz w:val="20"/>
                <w:szCs w:val="20"/>
              </w:rPr>
              <w:t>Mental Capacity Act (2005)</w:t>
            </w:r>
          </w:p>
          <w:p w14:paraId="31CEFCAC" w14:textId="77777777" w:rsidR="00E03C65" w:rsidRPr="00FE06B2" w:rsidRDefault="00E03C65" w:rsidP="00E03C65">
            <w:pPr>
              <w:spacing w:line="360" w:lineRule="auto"/>
              <w:rPr>
                <w:rFonts w:asciiTheme="minorHAnsi" w:hAnsiTheme="minorHAnsi" w:cstheme="majorBidi"/>
                <w:sz w:val="20"/>
                <w:szCs w:val="20"/>
              </w:rPr>
            </w:pPr>
            <w:r w:rsidRPr="00FE06B2">
              <w:rPr>
                <w:rFonts w:asciiTheme="minorHAnsi" w:eastAsiaTheme="minorEastAsia" w:hAnsiTheme="minorHAnsi" w:cstheme="majorBidi"/>
                <w:sz w:val="20"/>
                <w:szCs w:val="20"/>
              </w:rPr>
              <w:t>Nicklinson and Lamb v the United Kingdom 2015</w:t>
            </w:r>
          </w:p>
          <w:p w14:paraId="1A614B9C" w14:textId="77777777" w:rsidR="009E3104" w:rsidRPr="00FE06B2" w:rsidRDefault="009E3104" w:rsidP="009E3104">
            <w:pPr>
              <w:autoSpaceDE w:val="0"/>
              <w:autoSpaceDN w:val="0"/>
              <w:adjustRightInd w:val="0"/>
              <w:spacing w:line="360" w:lineRule="auto"/>
              <w:rPr>
                <w:rFonts w:asciiTheme="minorHAnsi" w:hAnsiTheme="minorHAnsi" w:cstheme="majorBidi"/>
                <w:color w:val="000000"/>
                <w:sz w:val="20"/>
                <w:szCs w:val="20"/>
              </w:rPr>
            </w:pPr>
            <w:r w:rsidRPr="00FE06B2">
              <w:rPr>
                <w:rFonts w:asciiTheme="minorHAnsi" w:hAnsiTheme="minorHAnsi" w:cstheme="majorBidi"/>
                <w:color w:val="000000"/>
                <w:sz w:val="20"/>
                <w:szCs w:val="20"/>
              </w:rPr>
              <w:t>Tracey v Cambridge University Hospital 2014</w:t>
            </w:r>
          </w:p>
          <w:p w14:paraId="35AA01A7" w14:textId="77777777" w:rsidR="009E3104" w:rsidRDefault="009E3104" w:rsidP="00E03C65">
            <w:pPr>
              <w:spacing w:line="360" w:lineRule="auto"/>
              <w:rPr>
                <w:rFonts w:asciiTheme="minorHAnsi" w:hAnsiTheme="minorHAnsi"/>
                <w:sz w:val="20"/>
                <w:szCs w:val="20"/>
              </w:rPr>
            </w:pPr>
          </w:p>
        </w:tc>
      </w:tr>
    </w:tbl>
    <w:p w14:paraId="178DAEA0" w14:textId="77777777" w:rsidR="00670E4A" w:rsidRDefault="00670E4A" w:rsidP="00670E4A">
      <w:pPr>
        <w:rPr>
          <w:rFonts w:asciiTheme="minorHAnsi" w:hAnsiTheme="minorHAnsi"/>
          <w:b/>
          <w:bCs/>
          <w:iCs/>
          <w:caps/>
          <w:sz w:val="20"/>
          <w:szCs w:val="20"/>
        </w:rPr>
      </w:pPr>
      <w:r>
        <w:rPr>
          <w:rFonts w:asciiTheme="minorHAnsi" w:hAnsiTheme="minorHAnsi"/>
          <w:b/>
          <w:bCs/>
          <w:iCs/>
          <w:caps/>
          <w:sz w:val="20"/>
          <w:szCs w:val="20"/>
        </w:rPr>
        <w:br w:type="page"/>
      </w:r>
    </w:p>
    <w:p w14:paraId="776D830D" w14:textId="77777777" w:rsidR="00670E4A" w:rsidRPr="00693F24" w:rsidRDefault="00670E4A" w:rsidP="00670E4A">
      <w:pPr>
        <w:pStyle w:val="NormalWeb"/>
        <w:jc w:val="center"/>
        <w:rPr>
          <w:rFonts w:asciiTheme="minorHAnsi" w:hAnsiTheme="minorHAnsi" w:cstheme="minorHAnsi"/>
          <w:b/>
        </w:rPr>
      </w:pPr>
      <w:r w:rsidRPr="00693F24">
        <w:rPr>
          <w:rFonts w:asciiTheme="minorHAnsi" w:hAnsiTheme="minorHAnsi" w:cstheme="minorHAnsi"/>
          <w:b/>
        </w:rPr>
        <w:t>GENETICS</w:t>
      </w:r>
    </w:p>
    <w:p w14:paraId="3F498CD9" w14:textId="77777777" w:rsidR="00670E4A" w:rsidRPr="00FE06B2" w:rsidRDefault="00670E4A" w:rsidP="003E4A53">
      <w:pPr>
        <w:pStyle w:val="NormalWeb"/>
        <w:jc w:val="both"/>
        <w:rPr>
          <w:rFonts w:asciiTheme="minorHAnsi" w:hAnsiTheme="minorHAnsi" w:cstheme="minorHAnsi"/>
          <w:sz w:val="20"/>
          <w:szCs w:val="20"/>
        </w:rPr>
      </w:pPr>
      <w:r w:rsidRPr="00FE06B2">
        <w:rPr>
          <w:rFonts w:asciiTheme="minorHAnsi" w:hAnsiTheme="minorHAnsi" w:cstheme="minorHAnsi"/>
          <w:sz w:val="20"/>
          <w:szCs w:val="20"/>
        </w:rPr>
        <w:t>When teaching this area it is important to remember the rapid advancement and developments; such as for example commercial availability of DNA testing</w:t>
      </w:r>
      <w:r>
        <w:rPr>
          <w:rFonts w:asciiTheme="minorHAnsi" w:hAnsiTheme="minorHAnsi" w:cstheme="minorHAnsi"/>
          <w:sz w:val="20"/>
          <w:szCs w:val="20"/>
        </w:rPr>
        <w:t>,</w:t>
      </w:r>
      <w:r w:rsidRPr="00FE06B2">
        <w:rPr>
          <w:rFonts w:asciiTheme="minorHAnsi" w:hAnsiTheme="minorHAnsi" w:cstheme="minorHAnsi"/>
          <w:sz w:val="20"/>
          <w:szCs w:val="20"/>
        </w:rPr>
        <w:t xml:space="preserve"> and the implications of this to medical practice.  </w:t>
      </w:r>
    </w:p>
    <w:p w14:paraId="03AD35E1" w14:textId="77777777" w:rsidR="00670E4A" w:rsidRPr="00FE06B2" w:rsidRDefault="00670E4A" w:rsidP="003E4A53">
      <w:pPr>
        <w:pStyle w:val="NormalWeb"/>
        <w:jc w:val="both"/>
        <w:rPr>
          <w:rFonts w:asciiTheme="minorHAnsi" w:hAnsiTheme="minorHAnsi" w:cstheme="minorHAnsi"/>
          <w:sz w:val="20"/>
          <w:szCs w:val="20"/>
        </w:rPr>
      </w:pPr>
      <w:r w:rsidRPr="00FE06B2">
        <w:rPr>
          <w:rFonts w:asciiTheme="minorHAnsi" w:hAnsiTheme="minorHAnsi" w:cstheme="minorHAnsi"/>
          <w:sz w:val="20"/>
          <w:szCs w:val="20"/>
        </w:rPr>
        <w:t xml:space="preserve">You may also want to signpost the students to links to other </w:t>
      </w:r>
      <w:r>
        <w:rPr>
          <w:rFonts w:asciiTheme="minorHAnsi" w:hAnsiTheme="minorHAnsi" w:cstheme="minorHAnsi"/>
          <w:sz w:val="20"/>
          <w:szCs w:val="20"/>
        </w:rPr>
        <w:t xml:space="preserve">linked </w:t>
      </w:r>
      <w:r w:rsidRPr="00FE06B2">
        <w:rPr>
          <w:rFonts w:asciiTheme="minorHAnsi" w:hAnsiTheme="minorHAnsi" w:cstheme="minorHAnsi"/>
          <w:sz w:val="20"/>
          <w:szCs w:val="20"/>
        </w:rPr>
        <w:t xml:space="preserve">key curricular areas of medical ethics such as confidentiality and </w:t>
      </w:r>
      <w:r>
        <w:rPr>
          <w:rFonts w:asciiTheme="minorHAnsi" w:hAnsiTheme="minorHAnsi" w:cstheme="minorHAnsi"/>
          <w:sz w:val="20"/>
          <w:szCs w:val="20"/>
        </w:rPr>
        <w:t xml:space="preserve">ethics at the </w:t>
      </w:r>
      <w:r w:rsidRPr="00FE06B2">
        <w:rPr>
          <w:rFonts w:asciiTheme="minorHAnsi" w:hAnsiTheme="minorHAnsi" w:cstheme="minorHAnsi"/>
          <w:sz w:val="20"/>
          <w:szCs w:val="20"/>
        </w:rPr>
        <w:t xml:space="preserve">beginning of life. </w:t>
      </w:r>
    </w:p>
    <w:p w14:paraId="26F8B26F" w14:textId="77777777" w:rsidR="00670E4A" w:rsidRPr="00FE06B2" w:rsidRDefault="00670E4A" w:rsidP="00670E4A">
      <w:pPr>
        <w:rPr>
          <w:rFonts w:asciiTheme="minorHAnsi" w:hAnsiTheme="minorHAnsi" w:cstheme="minorHAnsi"/>
          <w:color w:val="000000" w:themeColor="text1"/>
          <w:sz w:val="20"/>
          <w:szCs w:val="20"/>
        </w:rPr>
      </w:pPr>
    </w:p>
    <w:tbl>
      <w:tblPr>
        <w:tblStyle w:val="TableGrid"/>
        <w:tblW w:w="0" w:type="auto"/>
        <w:tblLook w:val="04A0" w:firstRow="1" w:lastRow="0" w:firstColumn="1" w:lastColumn="0" w:noHBand="0" w:noVBand="1"/>
      </w:tblPr>
      <w:tblGrid>
        <w:gridCol w:w="9010"/>
      </w:tblGrid>
      <w:tr w:rsidR="00670E4A" w:rsidRPr="00FE06B2" w14:paraId="5715B3FB" w14:textId="77777777" w:rsidTr="003871F8">
        <w:tc>
          <w:tcPr>
            <w:tcW w:w="9010" w:type="dxa"/>
          </w:tcPr>
          <w:p w14:paraId="2DE220EB" w14:textId="7B54BE25" w:rsidR="00670E4A" w:rsidRPr="003E4A53" w:rsidRDefault="003E4A53" w:rsidP="003E4A53">
            <w:pPr>
              <w:jc w:val="center"/>
              <w:rPr>
                <w:rFonts w:asciiTheme="minorHAnsi" w:hAnsiTheme="minorHAnsi" w:cstheme="minorHAnsi"/>
                <w:b/>
                <w:bCs/>
                <w:color w:val="000000" w:themeColor="text1"/>
                <w:sz w:val="20"/>
                <w:szCs w:val="20"/>
              </w:rPr>
            </w:pPr>
            <w:r w:rsidRPr="003E4A53">
              <w:rPr>
                <w:rFonts w:asciiTheme="minorHAnsi" w:hAnsiTheme="minorHAnsi" w:cstheme="minorHAnsi"/>
                <w:b/>
                <w:bCs/>
                <w:color w:val="000000" w:themeColor="text1"/>
                <w:sz w:val="20"/>
                <w:szCs w:val="20"/>
              </w:rPr>
              <w:t xml:space="preserve">Useful </w:t>
            </w:r>
            <w:r w:rsidR="00657DAE" w:rsidRPr="003E4A53">
              <w:rPr>
                <w:rFonts w:asciiTheme="minorHAnsi" w:hAnsiTheme="minorHAnsi" w:cstheme="minorHAnsi"/>
                <w:b/>
                <w:bCs/>
                <w:color w:val="000000" w:themeColor="text1"/>
                <w:sz w:val="20"/>
                <w:szCs w:val="20"/>
              </w:rPr>
              <w:t>Resources</w:t>
            </w:r>
          </w:p>
        </w:tc>
      </w:tr>
      <w:tr w:rsidR="00670E4A" w:rsidRPr="00FE06B2" w14:paraId="3A5B9641" w14:textId="77777777" w:rsidTr="003871F8">
        <w:tc>
          <w:tcPr>
            <w:tcW w:w="9010" w:type="dxa"/>
          </w:tcPr>
          <w:p w14:paraId="55900AE1" w14:textId="506FA4A1" w:rsidR="00FA5613" w:rsidRDefault="00FA5613" w:rsidP="00E03C65">
            <w:pPr>
              <w:pStyle w:val="NormalWeb"/>
              <w:rPr>
                <w:rFonts w:asciiTheme="minorHAnsi" w:hAnsiTheme="minorHAnsi" w:cstheme="majorHAnsi"/>
                <w:color w:val="000000" w:themeColor="text1"/>
                <w:sz w:val="20"/>
                <w:szCs w:val="20"/>
              </w:rPr>
            </w:pPr>
            <w:r w:rsidRPr="00175FFD">
              <w:rPr>
                <w:rStyle w:val="Hyperlink"/>
                <w:rFonts w:asciiTheme="minorHAnsi" w:eastAsiaTheme="majorEastAsia" w:hAnsiTheme="minorHAnsi"/>
                <w:color w:val="000000" w:themeColor="text1"/>
                <w:sz w:val="20"/>
                <w:szCs w:val="20"/>
                <w:u w:val="none"/>
              </w:rPr>
              <w:t>L</w:t>
            </w:r>
            <w:r w:rsidRPr="00FE06B2">
              <w:rPr>
                <w:rFonts w:asciiTheme="minorHAnsi" w:hAnsiTheme="minorHAnsi" w:cstheme="majorHAnsi"/>
                <w:color w:val="000000" w:themeColor="text1"/>
                <w:sz w:val="20"/>
                <w:szCs w:val="20"/>
              </w:rPr>
              <w:t>ucassen</w:t>
            </w:r>
            <w:r w:rsidR="00E03C65">
              <w:rPr>
                <w:rFonts w:asciiTheme="minorHAnsi" w:hAnsiTheme="minorHAnsi" w:cstheme="majorHAnsi"/>
                <w:color w:val="000000" w:themeColor="text1"/>
                <w:sz w:val="20"/>
                <w:szCs w:val="20"/>
              </w:rPr>
              <w:t>,</w:t>
            </w:r>
            <w:r w:rsidRPr="00FE06B2">
              <w:rPr>
                <w:rFonts w:asciiTheme="minorHAnsi" w:hAnsiTheme="minorHAnsi" w:cstheme="majorHAnsi"/>
                <w:color w:val="000000" w:themeColor="text1"/>
                <w:sz w:val="20"/>
                <w:szCs w:val="20"/>
              </w:rPr>
              <w:t xml:space="preserve"> A. (2008). </w:t>
            </w:r>
            <w:r>
              <w:rPr>
                <w:rFonts w:asciiTheme="minorHAnsi" w:hAnsiTheme="minorHAnsi" w:cstheme="majorHAnsi"/>
                <w:color w:val="000000" w:themeColor="text1"/>
                <w:sz w:val="20"/>
                <w:szCs w:val="20"/>
              </w:rPr>
              <w:t xml:space="preserve"> </w:t>
            </w:r>
            <w:r w:rsidRPr="00FE06B2">
              <w:rPr>
                <w:rFonts w:asciiTheme="minorHAnsi" w:hAnsiTheme="minorHAnsi" w:cstheme="majorHAnsi"/>
                <w:color w:val="000000" w:themeColor="text1"/>
                <w:sz w:val="20"/>
                <w:szCs w:val="20"/>
              </w:rPr>
              <w:t xml:space="preserve">Ethical issues in genetic medicine. </w:t>
            </w:r>
            <w:r w:rsidRPr="00FE06B2">
              <w:rPr>
                <w:rFonts w:asciiTheme="minorHAnsi" w:hAnsiTheme="minorHAnsi" w:cstheme="majorHAnsi"/>
                <w:i/>
                <w:color w:val="000000" w:themeColor="text1"/>
                <w:sz w:val="20"/>
                <w:szCs w:val="20"/>
              </w:rPr>
              <w:t>InnovAiT</w:t>
            </w:r>
            <w:r w:rsidRPr="00FE06B2">
              <w:rPr>
                <w:rFonts w:asciiTheme="minorHAnsi" w:hAnsiTheme="minorHAnsi" w:cstheme="majorHAnsi"/>
                <w:color w:val="000000" w:themeColor="text1"/>
                <w:sz w:val="20"/>
                <w:szCs w:val="20"/>
              </w:rPr>
              <w:t>, 1(8): 589 – 595.  doi:10.1093/</w:t>
            </w:r>
            <w:proofErr w:type="spellStart"/>
            <w:r w:rsidRPr="00FE06B2">
              <w:rPr>
                <w:rFonts w:asciiTheme="minorHAnsi" w:hAnsiTheme="minorHAnsi" w:cstheme="majorHAnsi"/>
                <w:color w:val="000000" w:themeColor="text1"/>
                <w:sz w:val="20"/>
                <w:szCs w:val="20"/>
              </w:rPr>
              <w:t>innovait</w:t>
            </w:r>
            <w:proofErr w:type="spellEnd"/>
            <w:r w:rsidRPr="00FE06B2">
              <w:rPr>
                <w:rFonts w:asciiTheme="minorHAnsi" w:hAnsiTheme="minorHAnsi" w:cstheme="majorHAnsi"/>
                <w:color w:val="000000" w:themeColor="text1"/>
                <w:sz w:val="20"/>
                <w:szCs w:val="20"/>
              </w:rPr>
              <w:t>/inn094</w:t>
            </w:r>
          </w:p>
          <w:p w14:paraId="2EBA0923" w14:textId="1A08902F" w:rsidR="00FA5613" w:rsidRPr="00FA5613" w:rsidRDefault="00FA5613" w:rsidP="00FA5613">
            <w:pPr>
              <w:pStyle w:val="NormalWeb"/>
              <w:jc w:val="both"/>
              <w:rPr>
                <w:rFonts w:asciiTheme="minorHAnsi" w:hAnsiTheme="minorHAnsi" w:cstheme="majorHAnsi"/>
                <w:color w:val="000000" w:themeColor="text1"/>
                <w:sz w:val="20"/>
                <w:szCs w:val="20"/>
              </w:rPr>
            </w:pPr>
            <w:r w:rsidRPr="00FA5613">
              <w:rPr>
                <w:rFonts w:asciiTheme="minorHAnsi" w:hAnsiTheme="minorHAnsi"/>
                <w:sz w:val="20"/>
                <w:szCs w:val="20"/>
              </w:rPr>
              <w:t xml:space="preserve">Nuffield Council on Bioethics (2018).  Genome editing and human reproduction: social and ethical issues.  </w:t>
            </w:r>
          </w:p>
          <w:p w14:paraId="65037BB4" w14:textId="1322546F" w:rsidR="00175FFD" w:rsidRDefault="00670E4A" w:rsidP="00175FFD">
            <w:pPr>
              <w:pStyle w:val="NormalWeb"/>
              <w:rPr>
                <w:rFonts w:asciiTheme="minorHAnsi" w:hAnsiTheme="minorHAnsi" w:cstheme="minorHAnsi"/>
                <w:color w:val="000000" w:themeColor="text1"/>
                <w:sz w:val="20"/>
                <w:szCs w:val="20"/>
              </w:rPr>
            </w:pPr>
            <w:r w:rsidRPr="00FE06B2">
              <w:rPr>
                <w:rFonts w:asciiTheme="minorHAnsi" w:hAnsiTheme="minorHAnsi" w:cstheme="minorHAnsi"/>
                <w:color w:val="000000" w:themeColor="text1"/>
                <w:sz w:val="20"/>
                <w:szCs w:val="20"/>
              </w:rPr>
              <w:t xml:space="preserve">Royal College of Physicians. Consent and Confidentiality in Genomic Medicine. Guidance on the use of genetic and genomic information in the clinic. July 2019. </w:t>
            </w:r>
          </w:p>
          <w:p w14:paraId="270DE7BD" w14:textId="4C6ECB61" w:rsidR="00C1306D" w:rsidRPr="00C1306D" w:rsidRDefault="00C1306D" w:rsidP="00175FFD">
            <w:pPr>
              <w:pStyle w:val="NormalWeb"/>
              <w:rPr>
                <w:rFonts w:asciiTheme="minorHAnsi" w:hAnsiTheme="minorHAnsi" w:cstheme="minorHAnsi"/>
                <w:color w:val="000000" w:themeColor="text1"/>
                <w:sz w:val="20"/>
                <w:szCs w:val="20"/>
              </w:rPr>
            </w:pPr>
            <w:r w:rsidRPr="00C1306D">
              <w:rPr>
                <w:rFonts w:asciiTheme="minorHAnsi" w:hAnsiTheme="minorHAnsi" w:cstheme="minorHAnsi"/>
                <w:color w:val="000000" w:themeColor="text1"/>
                <w:sz w:val="20"/>
                <w:szCs w:val="20"/>
              </w:rPr>
              <w:t xml:space="preserve">University of Southampton.  Ethics of Genetics.  </w:t>
            </w:r>
            <w:hyperlink r:id="rId50" w:history="1">
              <w:r w:rsidRPr="00C1306D">
                <w:rPr>
                  <w:rStyle w:val="Hyperlink"/>
                  <w:rFonts w:asciiTheme="minorHAnsi" w:eastAsiaTheme="majorEastAsia" w:hAnsiTheme="minorHAnsi"/>
                  <w:sz w:val="20"/>
                  <w:szCs w:val="20"/>
                </w:rPr>
                <w:t>https://www.southampton.ac.uk/news/2016/04/ethics-of-genomics.page</w:t>
              </w:r>
            </w:hyperlink>
          </w:p>
          <w:p w14:paraId="0D95794F" w14:textId="77777777" w:rsidR="00670E4A" w:rsidRPr="00FE06B2" w:rsidRDefault="00670E4A" w:rsidP="00FA5613">
            <w:pPr>
              <w:pStyle w:val="NormalWeb"/>
              <w:rPr>
                <w:rFonts w:asciiTheme="minorHAnsi" w:hAnsiTheme="minorHAnsi" w:cstheme="minorHAnsi"/>
                <w:color w:val="000000" w:themeColor="text1"/>
                <w:sz w:val="20"/>
                <w:szCs w:val="20"/>
              </w:rPr>
            </w:pPr>
          </w:p>
        </w:tc>
      </w:tr>
    </w:tbl>
    <w:p w14:paraId="66A00B2F" w14:textId="77777777" w:rsidR="00670E4A" w:rsidRPr="00FE06B2" w:rsidRDefault="00670E4A" w:rsidP="00670E4A">
      <w:pPr>
        <w:rPr>
          <w:rFonts w:asciiTheme="minorHAnsi" w:hAnsiTheme="minorHAnsi" w:cstheme="minorHAnsi"/>
          <w:color w:val="000000" w:themeColor="text1"/>
          <w:sz w:val="20"/>
          <w:szCs w:val="20"/>
        </w:rPr>
      </w:pPr>
    </w:p>
    <w:p w14:paraId="24DA0688" w14:textId="77777777" w:rsidR="00670E4A" w:rsidRPr="00FE06B2" w:rsidRDefault="00670E4A" w:rsidP="00670E4A">
      <w:pPr>
        <w:rPr>
          <w:rFonts w:asciiTheme="minorHAnsi" w:hAnsiTheme="minorHAnsi" w:cstheme="minorHAnsi"/>
          <w:color w:val="000000" w:themeColor="text1"/>
          <w:sz w:val="20"/>
          <w:szCs w:val="20"/>
        </w:rPr>
      </w:pPr>
    </w:p>
    <w:p w14:paraId="5B395DEE" w14:textId="77777777" w:rsidR="00670E4A" w:rsidRPr="00FE06B2" w:rsidRDefault="00670E4A" w:rsidP="00670E4A">
      <w:pPr>
        <w:rPr>
          <w:rFonts w:asciiTheme="minorHAnsi" w:hAnsiTheme="minorHAnsi" w:cstheme="minorHAnsi"/>
          <w:color w:val="000000" w:themeColor="text1"/>
          <w:sz w:val="20"/>
          <w:szCs w:val="20"/>
        </w:rPr>
      </w:pPr>
    </w:p>
    <w:p w14:paraId="42D55B16" w14:textId="77777777" w:rsidR="00670E4A" w:rsidRPr="00FE06B2" w:rsidRDefault="00670E4A" w:rsidP="00670E4A">
      <w:pPr>
        <w:rPr>
          <w:rFonts w:asciiTheme="minorHAnsi" w:hAnsiTheme="minorHAnsi" w:cstheme="minorHAnsi"/>
          <w:color w:val="000000" w:themeColor="text1"/>
          <w:sz w:val="20"/>
          <w:szCs w:val="20"/>
        </w:rPr>
      </w:pPr>
    </w:p>
    <w:tbl>
      <w:tblPr>
        <w:tblStyle w:val="TableGrid"/>
        <w:tblW w:w="0" w:type="auto"/>
        <w:tblLook w:val="04A0" w:firstRow="1" w:lastRow="0" w:firstColumn="1" w:lastColumn="0" w:noHBand="0" w:noVBand="1"/>
      </w:tblPr>
      <w:tblGrid>
        <w:gridCol w:w="9016"/>
      </w:tblGrid>
      <w:tr w:rsidR="00175FFD" w14:paraId="2FC7E14B" w14:textId="77777777" w:rsidTr="00175FFD">
        <w:tc>
          <w:tcPr>
            <w:tcW w:w="9016" w:type="dxa"/>
          </w:tcPr>
          <w:p w14:paraId="31DABE6B" w14:textId="7EF170A5" w:rsidR="00175FFD" w:rsidRDefault="00175FFD" w:rsidP="003E4A53">
            <w:pPr>
              <w:jc w:val="center"/>
              <w:rPr>
                <w:rFonts w:asciiTheme="minorHAnsi" w:hAnsiTheme="minorHAnsi" w:cstheme="minorHAnsi"/>
                <w:b/>
                <w:bCs/>
                <w:color w:val="000000" w:themeColor="text1"/>
                <w:sz w:val="20"/>
                <w:szCs w:val="20"/>
              </w:rPr>
            </w:pPr>
            <w:r w:rsidRPr="003E4A53">
              <w:rPr>
                <w:rFonts w:asciiTheme="minorHAnsi" w:hAnsiTheme="minorHAnsi" w:cstheme="minorHAnsi"/>
                <w:b/>
                <w:bCs/>
                <w:color w:val="000000" w:themeColor="text1"/>
                <w:sz w:val="20"/>
                <w:szCs w:val="20"/>
              </w:rPr>
              <w:t>Landmark Cases</w:t>
            </w:r>
          </w:p>
        </w:tc>
      </w:tr>
      <w:tr w:rsidR="00175FFD" w14:paraId="7927AE98" w14:textId="77777777" w:rsidTr="00175FFD">
        <w:tc>
          <w:tcPr>
            <w:tcW w:w="9016" w:type="dxa"/>
          </w:tcPr>
          <w:p w14:paraId="221ACC98" w14:textId="660B8F73" w:rsidR="00175FFD" w:rsidRPr="00E03C65" w:rsidRDefault="00175FFD" w:rsidP="00E03C65">
            <w:pPr>
              <w:pStyle w:val="NormalWeb"/>
              <w:rPr>
                <w:rFonts w:asciiTheme="minorHAnsi" w:hAnsiTheme="minorHAnsi"/>
                <w:sz w:val="20"/>
                <w:szCs w:val="20"/>
              </w:rPr>
            </w:pPr>
            <w:r w:rsidRPr="00FE06B2">
              <w:rPr>
                <w:rFonts w:asciiTheme="minorHAnsi" w:hAnsiTheme="minorHAnsi"/>
                <w:sz w:val="20"/>
                <w:szCs w:val="20"/>
              </w:rPr>
              <w:t xml:space="preserve">ABC v St George’s NHS Health Trust: [2020] EWHC 455 (QB) </w:t>
            </w:r>
          </w:p>
        </w:tc>
      </w:tr>
    </w:tbl>
    <w:p w14:paraId="7A0C8B69" w14:textId="77777777" w:rsidR="00670E4A" w:rsidRPr="00FE06B2" w:rsidRDefault="00670E4A" w:rsidP="00670E4A">
      <w:pPr>
        <w:rPr>
          <w:rFonts w:asciiTheme="minorHAnsi" w:hAnsiTheme="minorHAnsi" w:cstheme="minorHAnsi"/>
          <w:sz w:val="20"/>
          <w:szCs w:val="20"/>
        </w:rPr>
      </w:pPr>
    </w:p>
    <w:p w14:paraId="4E4D3175" w14:textId="77777777" w:rsidR="00670E4A" w:rsidRPr="00FE06B2" w:rsidRDefault="00670E4A" w:rsidP="00670E4A">
      <w:pPr>
        <w:pStyle w:val="NormalWeb"/>
        <w:rPr>
          <w:rFonts w:asciiTheme="minorHAnsi" w:hAnsiTheme="minorHAnsi" w:cstheme="minorHAnsi"/>
          <w:sz w:val="20"/>
          <w:szCs w:val="20"/>
        </w:rPr>
      </w:pPr>
    </w:p>
    <w:p w14:paraId="026F2827" w14:textId="77777777" w:rsidR="00670E4A" w:rsidRPr="00FE06B2" w:rsidRDefault="00670E4A" w:rsidP="00670E4A">
      <w:pPr>
        <w:pStyle w:val="NormalWeb"/>
        <w:rPr>
          <w:rFonts w:asciiTheme="minorHAnsi" w:hAnsiTheme="minorHAnsi" w:cstheme="minorHAnsi"/>
          <w:sz w:val="20"/>
          <w:szCs w:val="20"/>
        </w:rPr>
      </w:pPr>
    </w:p>
    <w:p w14:paraId="7D64210D" w14:textId="77777777" w:rsidR="00670E4A" w:rsidRDefault="00670E4A" w:rsidP="00670E4A">
      <w:pPr>
        <w:rPr>
          <w:rFonts w:asciiTheme="minorHAnsi" w:hAnsiTheme="minorHAnsi" w:cstheme="minorHAnsi"/>
          <w:b/>
          <w:sz w:val="20"/>
          <w:szCs w:val="20"/>
        </w:rPr>
      </w:pPr>
      <w:r>
        <w:rPr>
          <w:rFonts w:asciiTheme="minorHAnsi" w:hAnsiTheme="minorHAnsi" w:cstheme="minorHAnsi"/>
          <w:b/>
          <w:sz w:val="20"/>
          <w:szCs w:val="20"/>
        </w:rPr>
        <w:br w:type="page"/>
      </w:r>
    </w:p>
    <w:p w14:paraId="1B5E040C" w14:textId="77777777" w:rsidR="00670E4A" w:rsidRPr="00693F24" w:rsidRDefault="00670E4A" w:rsidP="00670E4A">
      <w:pPr>
        <w:pStyle w:val="NormalWeb"/>
        <w:jc w:val="center"/>
        <w:rPr>
          <w:rFonts w:asciiTheme="minorHAnsi" w:hAnsiTheme="minorHAnsi" w:cstheme="minorHAnsi"/>
          <w:b/>
        </w:rPr>
      </w:pPr>
      <w:r w:rsidRPr="00693F24">
        <w:rPr>
          <w:rFonts w:asciiTheme="minorHAnsi" w:hAnsiTheme="minorHAnsi" w:cstheme="minorHAnsi"/>
          <w:b/>
        </w:rPr>
        <w:t>MEDICAL RESEARCH</w:t>
      </w:r>
    </w:p>
    <w:p w14:paraId="00CE0992" w14:textId="77777777" w:rsidR="00670E4A" w:rsidRDefault="00670E4A" w:rsidP="003E4A53">
      <w:pPr>
        <w:pStyle w:val="NormalWeb"/>
        <w:jc w:val="both"/>
        <w:rPr>
          <w:rFonts w:asciiTheme="minorHAnsi" w:hAnsiTheme="minorHAnsi" w:cstheme="minorHAnsi"/>
          <w:sz w:val="20"/>
          <w:szCs w:val="20"/>
        </w:rPr>
      </w:pPr>
      <w:r w:rsidRPr="00FE06B2">
        <w:rPr>
          <w:rFonts w:asciiTheme="minorHAnsi" w:hAnsiTheme="minorHAnsi" w:cstheme="minorHAnsi"/>
          <w:sz w:val="20"/>
          <w:szCs w:val="20"/>
        </w:rPr>
        <w:t xml:space="preserve">Trust and integrity in research is now more widely recognised and it is a requirement for universities to offer </w:t>
      </w:r>
      <w:r>
        <w:rPr>
          <w:rFonts w:asciiTheme="minorHAnsi" w:hAnsiTheme="minorHAnsi" w:cstheme="minorHAnsi"/>
          <w:sz w:val="20"/>
          <w:szCs w:val="20"/>
        </w:rPr>
        <w:t xml:space="preserve">all researchers </w:t>
      </w:r>
      <w:r w:rsidRPr="00FE06B2">
        <w:rPr>
          <w:rFonts w:asciiTheme="minorHAnsi" w:hAnsiTheme="minorHAnsi" w:cstheme="minorHAnsi"/>
          <w:sz w:val="20"/>
          <w:szCs w:val="20"/>
        </w:rPr>
        <w:t>training in research ethic</w:t>
      </w:r>
      <w:r>
        <w:rPr>
          <w:rFonts w:asciiTheme="minorHAnsi" w:hAnsiTheme="minorHAnsi" w:cstheme="minorHAnsi"/>
          <w:sz w:val="20"/>
          <w:szCs w:val="20"/>
        </w:rPr>
        <w:t>s</w:t>
      </w:r>
      <w:r w:rsidRPr="00FE06B2">
        <w:rPr>
          <w:rFonts w:asciiTheme="minorHAnsi" w:hAnsiTheme="minorHAnsi" w:cstheme="minorHAnsi"/>
          <w:sz w:val="20"/>
          <w:szCs w:val="20"/>
        </w:rPr>
        <w:t xml:space="preserve">. </w:t>
      </w:r>
      <w:r>
        <w:rPr>
          <w:rFonts w:asciiTheme="minorHAnsi" w:hAnsiTheme="minorHAnsi" w:cstheme="minorHAnsi"/>
          <w:sz w:val="20"/>
          <w:szCs w:val="20"/>
        </w:rPr>
        <w:t xml:space="preserve"> </w:t>
      </w:r>
      <w:r w:rsidRPr="00FE06B2">
        <w:rPr>
          <w:rFonts w:asciiTheme="minorHAnsi" w:hAnsiTheme="minorHAnsi" w:cstheme="minorHAnsi"/>
          <w:sz w:val="20"/>
          <w:szCs w:val="20"/>
        </w:rPr>
        <w:t xml:space="preserve">It may be worth linking this to professionalism of researchers; and confidence of the public in </w:t>
      </w:r>
      <w:r>
        <w:rPr>
          <w:rFonts w:asciiTheme="minorHAnsi" w:hAnsiTheme="minorHAnsi" w:cstheme="minorHAnsi"/>
          <w:sz w:val="20"/>
          <w:szCs w:val="20"/>
        </w:rPr>
        <w:t xml:space="preserve">health </w:t>
      </w:r>
      <w:r w:rsidRPr="00FE06B2">
        <w:rPr>
          <w:rFonts w:asciiTheme="minorHAnsi" w:hAnsiTheme="minorHAnsi" w:cstheme="minorHAnsi"/>
          <w:sz w:val="20"/>
          <w:szCs w:val="20"/>
        </w:rPr>
        <w:t xml:space="preserve">policies that are developed in response to research findings. </w:t>
      </w:r>
      <w:r>
        <w:rPr>
          <w:rFonts w:asciiTheme="minorHAnsi" w:hAnsiTheme="minorHAnsi" w:cstheme="minorHAnsi"/>
          <w:sz w:val="20"/>
          <w:szCs w:val="20"/>
        </w:rPr>
        <w:t xml:space="preserve"> </w:t>
      </w:r>
    </w:p>
    <w:p w14:paraId="7B51C4E8" w14:textId="77777777" w:rsidR="00670E4A" w:rsidRPr="00FE06B2" w:rsidRDefault="00670E4A" w:rsidP="003E4A53">
      <w:pPr>
        <w:pStyle w:val="NormalWeb"/>
        <w:jc w:val="both"/>
        <w:rPr>
          <w:rFonts w:asciiTheme="minorHAnsi" w:hAnsiTheme="minorHAnsi" w:cstheme="minorHAnsi"/>
          <w:sz w:val="20"/>
          <w:szCs w:val="20"/>
        </w:rPr>
      </w:pPr>
      <w:r w:rsidRPr="00FE06B2">
        <w:rPr>
          <w:rFonts w:asciiTheme="minorHAnsi" w:hAnsiTheme="minorHAnsi" w:cstheme="minorHAnsi"/>
          <w:sz w:val="20"/>
          <w:szCs w:val="20"/>
        </w:rPr>
        <w:t>You may want to highlight inequities in participant autonomy and resources; with particular reference to research settings</w:t>
      </w:r>
      <w:r>
        <w:rPr>
          <w:rFonts w:asciiTheme="minorHAnsi" w:hAnsiTheme="minorHAnsi" w:cstheme="minorHAnsi"/>
          <w:sz w:val="20"/>
          <w:szCs w:val="20"/>
        </w:rPr>
        <w:t>,</w:t>
      </w:r>
      <w:r w:rsidRPr="00FE06B2">
        <w:rPr>
          <w:rFonts w:asciiTheme="minorHAnsi" w:hAnsiTheme="minorHAnsi" w:cstheme="minorHAnsi"/>
          <w:sz w:val="20"/>
          <w:szCs w:val="20"/>
        </w:rPr>
        <w:t xml:space="preserve"> or participants more likely to be exploited</w:t>
      </w:r>
      <w:r>
        <w:rPr>
          <w:rFonts w:asciiTheme="minorHAnsi" w:hAnsiTheme="minorHAnsi" w:cstheme="minorHAnsi"/>
          <w:sz w:val="20"/>
          <w:szCs w:val="20"/>
        </w:rPr>
        <w:t xml:space="preserve"> or excluded</w:t>
      </w:r>
      <w:r w:rsidRPr="00FE06B2">
        <w:rPr>
          <w:rFonts w:asciiTheme="minorHAnsi" w:hAnsiTheme="minorHAnsi" w:cstheme="minorHAnsi"/>
          <w:sz w:val="20"/>
          <w:szCs w:val="20"/>
        </w:rPr>
        <w:t xml:space="preserve">. </w:t>
      </w:r>
    </w:p>
    <w:p w14:paraId="0AFBF232" w14:textId="77777777" w:rsidR="00670E4A" w:rsidRDefault="00670E4A" w:rsidP="003E4A53">
      <w:pPr>
        <w:jc w:val="both"/>
        <w:rPr>
          <w:rFonts w:asciiTheme="minorHAnsi" w:hAnsiTheme="minorHAnsi" w:cstheme="minorHAnsi"/>
          <w:sz w:val="20"/>
          <w:szCs w:val="20"/>
        </w:rPr>
      </w:pPr>
      <w:r w:rsidRPr="00FE06B2">
        <w:rPr>
          <w:rFonts w:asciiTheme="minorHAnsi" w:hAnsiTheme="minorHAnsi" w:cstheme="minorHAnsi"/>
          <w:sz w:val="20"/>
          <w:szCs w:val="20"/>
        </w:rPr>
        <w:t xml:space="preserve">It is recommended you highlight the implications of GDPR to the research consent processes and data management. </w:t>
      </w:r>
    </w:p>
    <w:p w14:paraId="7E871531" w14:textId="77777777" w:rsidR="00670E4A" w:rsidRDefault="00670E4A" w:rsidP="003E4A53">
      <w:pPr>
        <w:jc w:val="both"/>
        <w:rPr>
          <w:rFonts w:asciiTheme="minorHAnsi" w:hAnsiTheme="minorHAnsi" w:cstheme="minorHAnsi"/>
          <w:sz w:val="20"/>
          <w:szCs w:val="20"/>
        </w:rPr>
      </w:pPr>
    </w:p>
    <w:p w14:paraId="1F44FF60" w14:textId="0A4E739D" w:rsidR="00670E4A" w:rsidRDefault="00670E4A" w:rsidP="003E4A53">
      <w:pPr>
        <w:jc w:val="both"/>
        <w:rPr>
          <w:rFonts w:asciiTheme="minorHAnsi" w:hAnsiTheme="minorHAnsi" w:cstheme="minorHAnsi"/>
          <w:sz w:val="20"/>
          <w:szCs w:val="20"/>
        </w:rPr>
      </w:pPr>
      <w:r>
        <w:rPr>
          <w:rFonts w:asciiTheme="minorHAnsi" w:hAnsiTheme="minorHAnsi" w:cstheme="minorHAnsi"/>
          <w:sz w:val="20"/>
          <w:szCs w:val="20"/>
        </w:rPr>
        <w:t>This area can be linked to ethics and beginning of life through discussion of embryo research</w:t>
      </w:r>
      <w:r w:rsidR="004F68F3">
        <w:rPr>
          <w:rFonts w:asciiTheme="minorHAnsi" w:hAnsiTheme="minorHAnsi" w:cstheme="minorHAnsi"/>
          <w:sz w:val="20"/>
          <w:szCs w:val="20"/>
        </w:rPr>
        <w:t>, as well as to consent</w:t>
      </w:r>
      <w:r w:rsidR="00C1306D">
        <w:rPr>
          <w:rFonts w:asciiTheme="minorHAnsi" w:hAnsiTheme="minorHAnsi" w:cstheme="minorHAnsi"/>
          <w:sz w:val="20"/>
          <w:szCs w:val="20"/>
        </w:rPr>
        <w:t xml:space="preserve"> and confidentiality</w:t>
      </w:r>
      <w:r>
        <w:rPr>
          <w:rFonts w:asciiTheme="minorHAnsi" w:hAnsiTheme="minorHAnsi" w:cstheme="minorHAnsi"/>
          <w:sz w:val="20"/>
          <w:szCs w:val="20"/>
        </w:rPr>
        <w:t>.</w:t>
      </w:r>
    </w:p>
    <w:p w14:paraId="3505C20B" w14:textId="77777777" w:rsidR="00670E4A" w:rsidRPr="00FE06B2" w:rsidRDefault="00670E4A" w:rsidP="003E4A53">
      <w:pPr>
        <w:jc w:val="both"/>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9010"/>
      </w:tblGrid>
      <w:tr w:rsidR="00670E4A" w:rsidRPr="00FE06B2" w14:paraId="53DA81E1" w14:textId="77777777" w:rsidTr="003871F8">
        <w:tc>
          <w:tcPr>
            <w:tcW w:w="9010" w:type="dxa"/>
          </w:tcPr>
          <w:p w14:paraId="353881DB" w14:textId="59F1E402" w:rsidR="00670E4A" w:rsidRPr="00693F24" w:rsidRDefault="003E4A53" w:rsidP="00B475C1">
            <w:pPr>
              <w:jc w:val="center"/>
              <w:rPr>
                <w:rFonts w:asciiTheme="minorHAnsi" w:hAnsiTheme="minorHAnsi" w:cstheme="minorHAnsi"/>
                <w:b/>
                <w:bCs/>
                <w:sz w:val="20"/>
                <w:szCs w:val="20"/>
              </w:rPr>
            </w:pPr>
            <w:r>
              <w:rPr>
                <w:rFonts w:asciiTheme="minorHAnsi" w:hAnsiTheme="minorHAnsi" w:cstheme="minorHAnsi"/>
                <w:b/>
                <w:bCs/>
                <w:sz w:val="20"/>
                <w:szCs w:val="20"/>
              </w:rPr>
              <w:t xml:space="preserve">Useful </w:t>
            </w:r>
            <w:r w:rsidR="00670E4A" w:rsidRPr="00693F24">
              <w:rPr>
                <w:rFonts w:asciiTheme="minorHAnsi" w:hAnsiTheme="minorHAnsi" w:cstheme="minorHAnsi"/>
                <w:b/>
                <w:bCs/>
                <w:sz w:val="20"/>
                <w:szCs w:val="20"/>
              </w:rPr>
              <w:t>Resources</w:t>
            </w:r>
          </w:p>
        </w:tc>
      </w:tr>
      <w:tr w:rsidR="00670E4A" w:rsidRPr="00FE06B2" w14:paraId="01981B7E" w14:textId="77777777" w:rsidTr="003871F8">
        <w:tc>
          <w:tcPr>
            <w:tcW w:w="9010" w:type="dxa"/>
          </w:tcPr>
          <w:p w14:paraId="00B56DFB" w14:textId="77777777" w:rsidR="00670E4A" w:rsidRPr="00FE06B2" w:rsidRDefault="00670E4A" w:rsidP="003871F8">
            <w:pPr>
              <w:rPr>
                <w:rFonts w:asciiTheme="minorHAnsi" w:hAnsiTheme="minorHAnsi" w:cstheme="minorHAnsi"/>
                <w:sz w:val="20"/>
                <w:szCs w:val="20"/>
              </w:rPr>
            </w:pPr>
          </w:p>
          <w:p w14:paraId="11B58E56" w14:textId="77777777" w:rsidR="00670E4A" w:rsidRPr="00FE06B2" w:rsidRDefault="00670E4A" w:rsidP="003871F8">
            <w:pPr>
              <w:rPr>
                <w:rFonts w:asciiTheme="minorHAnsi" w:hAnsiTheme="minorHAnsi" w:cstheme="minorHAnsi"/>
                <w:sz w:val="20"/>
                <w:szCs w:val="20"/>
              </w:rPr>
            </w:pPr>
            <w:r w:rsidRPr="00FE06B2">
              <w:rPr>
                <w:rFonts w:asciiTheme="minorHAnsi" w:hAnsiTheme="minorHAnsi" w:cstheme="minorHAnsi"/>
                <w:sz w:val="20"/>
                <w:szCs w:val="20"/>
              </w:rPr>
              <w:t xml:space="preserve">Future Learn courses are free for those registered on the platform; but if you require proof of completion payment is required. </w:t>
            </w:r>
            <w:hyperlink r:id="rId51" w:history="1">
              <w:r w:rsidRPr="00FE06B2">
                <w:rPr>
                  <w:rStyle w:val="Hyperlink"/>
                  <w:rFonts w:asciiTheme="minorHAnsi" w:hAnsiTheme="minorHAnsi" w:cstheme="minorHAnsi"/>
                  <w:sz w:val="20"/>
                  <w:szCs w:val="20"/>
                </w:rPr>
                <w:t>https://www.futurelearn.com/courses/research-ethics-an-introduction</w:t>
              </w:r>
            </w:hyperlink>
          </w:p>
          <w:p w14:paraId="7D2232C9" w14:textId="4E42175C" w:rsidR="00670E4A" w:rsidRDefault="00670E4A" w:rsidP="003871F8">
            <w:pPr>
              <w:rPr>
                <w:rFonts w:asciiTheme="minorHAnsi" w:hAnsiTheme="minorHAnsi" w:cstheme="minorHAnsi"/>
                <w:sz w:val="20"/>
                <w:szCs w:val="20"/>
              </w:rPr>
            </w:pPr>
          </w:p>
          <w:p w14:paraId="6AF2EBC0" w14:textId="454DEF50" w:rsidR="004F68F3" w:rsidRDefault="004F68F3" w:rsidP="003871F8">
            <w:pPr>
              <w:rPr>
                <w:rFonts w:asciiTheme="minorHAnsi" w:hAnsiTheme="minorHAnsi"/>
                <w:sz w:val="20"/>
                <w:szCs w:val="20"/>
              </w:rPr>
            </w:pPr>
            <w:r w:rsidRPr="002667D1">
              <w:rPr>
                <w:rFonts w:asciiTheme="minorHAnsi" w:hAnsiTheme="minorHAnsi"/>
                <w:sz w:val="20"/>
                <w:szCs w:val="20"/>
              </w:rPr>
              <w:t xml:space="preserve">HRA guidance on </w:t>
            </w:r>
            <w:r w:rsidR="002667D1">
              <w:rPr>
                <w:rFonts w:asciiTheme="minorHAnsi" w:hAnsiTheme="minorHAnsi"/>
                <w:sz w:val="20"/>
                <w:szCs w:val="20"/>
              </w:rPr>
              <w:t xml:space="preserve">GDPR and </w:t>
            </w:r>
            <w:r w:rsidRPr="002667D1">
              <w:rPr>
                <w:rFonts w:asciiTheme="minorHAnsi" w:hAnsiTheme="minorHAnsi"/>
                <w:sz w:val="20"/>
                <w:szCs w:val="20"/>
              </w:rPr>
              <w:t xml:space="preserve">consent: </w:t>
            </w:r>
            <w:hyperlink r:id="rId52" w:history="1">
              <w:r w:rsidR="002667D1" w:rsidRPr="002667D1">
                <w:rPr>
                  <w:rStyle w:val="Hyperlink"/>
                  <w:rFonts w:asciiTheme="minorHAnsi" w:eastAsiaTheme="majorEastAsia" w:hAnsiTheme="minorHAnsi"/>
                  <w:sz w:val="20"/>
                  <w:szCs w:val="20"/>
                </w:rPr>
                <w:t>https://www.hra.nhs.uk/planning-and-improving-research/policies-standards-legislation/data-protection-and-information-governance/gdpr-guidance/what-law-says/consent-research/</w:t>
              </w:r>
            </w:hyperlink>
          </w:p>
          <w:p w14:paraId="59E2A9D3" w14:textId="77777777" w:rsidR="002667D1" w:rsidRPr="002667D1" w:rsidRDefault="002667D1" w:rsidP="003871F8">
            <w:pPr>
              <w:rPr>
                <w:rFonts w:asciiTheme="minorHAnsi" w:hAnsiTheme="minorHAnsi" w:cstheme="minorHAnsi"/>
                <w:sz w:val="20"/>
                <w:szCs w:val="20"/>
              </w:rPr>
            </w:pPr>
          </w:p>
          <w:p w14:paraId="144BA8C2" w14:textId="7EA22B22" w:rsidR="00337491" w:rsidRPr="004B080F" w:rsidRDefault="00337491" w:rsidP="003871F8">
            <w:pPr>
              <w:rPr>
                <w:rFonts w:asciiTheme="minorHAnsi" w:hAnsiTheme="minorHAnsi" w:cstheme="minorHAnsi"/>
                <w:sz w:val="20"/>
                <w:szCs w:val="20"/>
              </w:rPr>
            </w:pPr>
            <w:r w:rsidRPr="004B080F">
              <w:rPr>
                <w:rFonts w:asciiTheme="minorHAnsi" w:hAnsiTheme="minorHAnsi"/>
                <w:sz w:val="20"/>
                <w:szCs w:val="20"/>
              </w:rPr>
              <w:t xml:space="preserve">MRC </w:t>
            </w:r>
            <w:r w:rsidR="004B080F" w:rsidRPr="004B080F">
              <w:rPr>
                <w:rFonts w:asciiTheme="minorHAnsi" w:hAnsiTheme="minorHAnsi"/>
                <w:sz w:val="20"/>
                <w:szCs w:val="20"/>
              </w:rPr>
              <w:t>E</w:t>
            </w:r>
            <w:r w:rsidRPr="004B080F">
              <w:rPr>
                <w:rFonts w:asciiTheme="minorHAnsi" w:hAnsiTheme="minorHAnsi"/>
                <w:sz w:val="20"/>
                <w:szCs w:val="20"/>
              </w:rPr>
              <w:t xml:space="preserve">thics </w:t>
            </w:r>
            <w:r w:rsidR="004B080F" w:rsidRPr="004B080F">
              <w:rPr>
                <w:rFonts w:asciiTheme="minorHAnsi" w:hAnsiTheme="minorHAnsi"/>
                <w:sz w:val="20"/>
                <w:szCs w:val="20"/>
              </w:rPr>
              <w:t>S</w:t>
            </w:r>
            <w:r w:rsidRPr="004B080F">
              <w:rPr>
                <w:rFonts w:asciiTheme="minorHAnsi" w:hAnsiTheme="minorHAnsi"/>
                <w:sz w:val="20"/>
                <w:szCs w:val="20"/>
              </w:rPr>
              <w:t>eries</w:t>
            </w:r>
            <w:r w:rsidR="004B080F" w:rsidRPr="004B080F">
              <w:rPr>
                <w:rFonts w:asciiTheme="minorHAnsi" w:hAnsiTheme="minorHAnsi"/>
                <w:sz w:val="20"/>
                <w:szCs w:val="20"/>
              </w:rPr>
              <w:t>:</w:t>
            </w:r>
            <w:r w:rsidRPr="004B080F">
              <w:rPr>
                <w:rFonts w:asciiTheme="minorHAnsi" w:hAnsiTheme="minorHAnsi"/>
                <w:sz w:val="20"/>
                <w:szCs w:val="20"/>
              </w:rPr>
              <w:t xml:space="preserve"> Good </w:t>
            </w:r>
            <w:r w:rsidR="004B080F">
              <w:rPr>
                <w:rFonts w:asciiTheme="minorHAnsi" w:hAnsiTheme="minorHAnsi"/>
                <w:sz w:val="20"/>
                <w:szCs w:val="20"/>
              </w:rPr>
              <w:t>R</w:t>
            </w:r>
            <w:r w:rsidRPr="004B080F">
              <w:rPr>
                <w:rFonts w:asciiTheme="minorHAnsi" w:hAnsiTheme="minorHAnsi"/>
                <w:sz w:val="20"/>
                <w:szCs w:val="20"/>
              </w:rPr>
              <w:t xml:space="preserve">esearch </w:t>
            </w:r>
            <w:r w:rsidR="004B080F">
              <w:rPr>
                <w:rFonts w:asciiTheme="minorHAnsi" w:hAnsiTheme="minorHAnsi"/>
                <w:sz w:val="20"/>
                <w:szCs w:val="20"/>
              </w:rPr>
              <w:t>P</w:t>
            </w:r>
            <w:r w:rsidRPr="004B080F">
              <w:rPr>
                <w:rFonts w:asciiTheme="minorHAnsi" w:hAnsiTheme="minorHAnsi"/>
                <w:sz w:val="20"/>
                <w:szCs w:val="20"/>
              </w:rPr>
              <w:t>ractice: Principles and guidelines</w:t>
            </w:r>
            <w:r w:rsidR="004B080F" w:rsidRPr="004B080F">
              <w:rPr>
                <w:rFonts w:asciiTheme="minorHAnsi" w:hAnsiTheme="minorHAnsi"/>
                <w:sz w:val="20"/>
                <w:szCs w:val="20"/>
              </w:rPr>
              <w:t xml:space="preserve"> (2012)</w:t>
            </w:r>
            <w:r w:rsidRPr="004B080F">
              <w:rPr>
                <w:rFonts w:asciiTheme="minorHAnsi" w:hAnsiTheme="minorHAnsi"/>
                <w:sz w:val="20"/>
                <w:szCs w:val="20"/>
              </w:rPr>
              <w:t>.  Medical Research Council</w:t>
            </w:r>
          </w:p>
          <w:p w14:paraId="570BE640" w14:textId="77777777" w:rsidR="004B080F" w:rsidRDefault="004B080F" w:rsidP="003871F8">
            <w:pPr>
              <w:rPr>
                <w:rFonts w:asciiTheme="minorHAnsi" w:hAnsiTheme="minorHAnsi" w:cstheme="minorHAnsi"/>
                <w:sz w:val="20"/>
                <w:szCs w:val="20"/>
              </w:rPr>
            </w:pPr>
          </w:p>
          <w:p w14:paraId="72D6FF79" w14:textId="23B219B1" w:rsidR="00B475C1" w:rsidRPr="00B475C1" w:rsidRDefault="00B475C1" w:rsidP="00B475C1">
            <w:pPr>
              <w:pStyle w:val="Heading1"/>
              <w:spacing w:before="0" w:line="264" w:lineRule="atLeast"/>
              <w:outlineLvl w:val="0"/>
              <w:rPr>
                <w:rFonts w:asciiTheme="minorHAnsi" w:hAnsiTheme="minorHAnsi"/>
                <w:color w:val="auto"/>
                <w:sz w:val="20"/>
                <w:szCs w:val="20"/>
                <w:lang w:eastAsia="en-US"/>
              </w:rPr>
            </w:pPr>
            <w:r w:rsidRPr="00B475C1">
              <w:rPr>
                <w:rFonts w:asciiTheme="minorHAnsi" w:hAnsiTheme="minorHAnsi"/>
                <w:color w:val="auto"/>
                <w:sz w:val="20"/>
                <w:szCs w:val="20"/>
              </w:rPr>
              <w:t>Nuffield Council on Bioethics (2015).  Children and clinical research: ethical issues</w:t>
            </w:r>
            <w:r>
              <w:rPr>
                <w:rFonts w:asciiTheme="minorHAnsi" w:hAnsiTheme="minorHAnsi"/>
                <w:color w:val="auto"/>
                <w:sz w:val="20"/>
                <w:szCs w:val="20"/>
              </w:rPr>
              <w:t xml:space="preserve"> </w:t>
            </w:r>
            <w:hyperlink r:id="rId53" w:history="1">
              <w:r w:rsidRPr="00B475C1">
                <w:rPr>
                  <w:rStyle w:val="Hyperlink"/>
                  <w:rFonts w:asciiTheme="minorHAnsi" w:hAnsiTheme="minorHAnsi"/>
                  <w:sz w:val="20"/>
                  <w:szCs w:val="20"/>
                </w:rPr>
                <w:t>https://www.nuffieldbioethics.org/publications/children-and-clinical-research</w:t>
              </w:r>
            </w:hyperlink>
          </w:p>
          <w:p w14:paraId="3B349F92" w14:textId="77777777" w:rsidR="00B475C1" w:rsidRDefault="00B475C1" w:rsidP="003871F8">
            <w:pPr>
              <w:rPr>
                <w:rFonts w:asciiTheme="minorHAnsi" w:hAnsiTheme="minorHAnsi" w:cstheme="minorHAnsi"/>
                <w:sz w:val="20"/>
                <w:szCs w:val="20"/>
              </w:rPr>
            </w:pPr>
          </w:p>
          <w:p w14:paraId="2403360B" w14:textId="3D13C9E1" w:rsidR="00670E4A" w:rsidRPr="00FE06B2" w:rsidRDefault="00670E4A" w:rsidP="003871F8">
            <w:pPr>
              <w:rPr>
                <w:rFonts w:asciiTheme="minorHAnsi" w:hAnsiTheme="minorHAnsi" w:cstheme="minorHAnsi"/>
                <w:sz w:val="20"/>
                <w:szCs w:val="20"/>
              </w:rPr>
            </w:pPr>
            <w:r w:rsidRPr="00FE06B2">
              <w:rPr>
                <w:rFonts w:asciiTheme="minorHAnsi" w:hAnsiTheme="minorHAnsi" w:cstheme="minorHAnsi"/>
                <w:sz w:val="20"/>
                <w:szCs w:val="20"/>
              </w:rPr>
              <w:t xml:space="preserve">Research Ethics Journal – An open access journal by Sage </w:t>
            </w:r>
          </w:p>
          <w:p w14:paraId="2A3D0290" w14:textId="77777777" w:rsidR="00670E4A" w:rsidRPr="00FE06B2" w:rsidRDefault="00670E4A" w:rsidP="003871F8">
            <w:pPr>
              <w:rPr>
                <w:rFonts w:asciiTheme="minorHAnsi" w:hAnsiTheme="minorHAnsi" w:cstheme="minorHAnsi"/>
                <w:sz w:val="20"/>
                <w:szCs w:val="20"/>
              </w:rPr>
            </w:pPr>
          </w:p>
        </w:tc>
      </w:tr>
    </w:tbl>
    <w:p w14:paraId="436367B2" w14:textId="77777777" w:rsidR="00670E4A" w:rsidRPr="00FE06B2" w:rsidRDefault="00670E4A" w:rsidP="00670E4A">
      <w:pPr>
        <w:rPr>
          <w:rFonts w:asciiTheme="minorHAnsi" w:hAnsiTheme="minorHAnsi" w:cstheme="minorHAnsi"/>
          <w:sz w:val="20"/>
          <w:szCs w:val="20"/>
        </w:rPr>
      </w:pPr>
    </w:p>
    <w:p w14:paraId="578DF6F9" w14:textId="77777777" w:rsidR="00670E4A" w:rsidRPr="00FE06B2" w:rsidRDefault="00670E4A" w:rsidP="00670E4A">
      <w:pPr>
        <w:rPr>
          <w:rFonts w:asciiTheme="minorHAnsi" w:hAnsiTheme="minorHAnsi" w:cstheme="minorHAnsi"/>
          <w:color w:val="000000" w:themeColor="text1"/>
          <w:sz w:val="20"/>
          <w:szCs w:val="20"/>
        </w:rPr>
      </w:pPr>
    </w:p>
    <w:p w14:paraId="7C48958E" w14:textId="77777777" w:rsidR="00670E4A" w:rsidRPr="00FE06B2" w:rsidRDefault="00670E4A" w:rsidP="00670E4A">
      <w:pPr>
        <w:rPr>
          <w:rFonts w:asciiTheme="minorHAnsi" w:hAnsiTheme="minorHAnsi" w:cstheme="minorHAnsi"/>
          <w:color w:val="000000" w:themeColor="text1"/>
          <w:sz w:val="20"/>
          <w:szCs w:val="20"/>
        </w:rPr>
      </w:pPr>
    </w:p>
    <w:p w14:paraId="079E6665" w14:textId="77777777" w:rsidR="00670E4A" w:rsidRPr="00FE06B2" w:rsidRDefault="00670E4A" w:rsidP="00670E4A">
      <w:pPr>
        <w:rPr>
          <w:rFonts w:asciiTheme="minorHAnsi" w:hAnsiTheme="minorHAnsi" w:cstheme="minorHAnsi"/>
          <w:color w:val="000000" w:themeColor="text1"/>
          <w:sz w:val="20"/>
          <w:szCs w:val="20"/>
        </w:rPr>
      </w:pPr>
    </w:p>
    <w:tbl>
      <w:tblPr>
        <w:tblStyle w:val="TableGrid"/>
        <w:tblW w:w="0" w:type="auto"/>
        <w:tblLook w:val="04A0" w:firstRow="1" w:lastRow="0" w:firstColumn="1" w:lastColumn="0" w:noHBand="0" w:noVBand="1"/>
      </w:tblPr>
      <w:tblGrid>
        <w:gridCol w:w="9010"/>
      </w:tblGrid>
      <w:tr w:rsidR="00670E4A" w:rsidRPr="00FE06B2" w14:paraId="1C7D98D9" w14:textId="77777777" w:rsidTr="003871F8">
        <w:tc>
          <w:tcPr>
            <w:tcW w:w="9010" w:type="dxa"/>
          </w:tcPr>
          <w:p w14:paraId="62CAE344" w14:textId="11CB0389" w:rsidR="00670E4A" w:rsidRPr="003E4A53" w:rsidRDefault="00670E4A" w:rsidP="003E4A53">
            <w:pPr>
              <w:jc w:val="center"/>
              <w:rPr>
                <w:rFonts w:asciiTheme="minorHAnsi" w:hAnsiTheme="minorHAnsi" w:cstheme="minorHAnsi"/>
                <w:b/>
                <w:bCs/>
                <w:sz w:val="20"/>
                <w:szCs w:val="20"/>
              </w:rPr>
            </w:pPr>
            <w:r w:rsidRPr="003E4A53">
              <w:rPr>
                <w:rFonts w:asciiTheme="minorHAnsi" w:hAnsiTheme="minorHAnsi" w:cstheme="minorHAnsi"/>
                <w:b/>
                <w:bCs/>
                <w:sz w:val="20"/>
                <w:szCs w:val="20"/>
              </w:rPr>
              <w:t>Legislation</w:t>
            </w:r>
          </w:p>
        </w:tc>
      </w:tr>
      <w:tr w:rsidR="00670E4A" w:rsidRPr="00FE06B2" w14:paraId="5BDBD59A" w14:textId="77777777" w:rsidTr="003871F8">
        <w:tc>
          <w:tcPr>
            <w:tcW w:w="9010" w:type="dxa"/>
          </w:tcPr>
          <w:p w14:paraId="195D7AF3" w14:textId="77777777" w:rsidR="00670E4A" w:rsidRPr="00FE06B2" w:rsidRDefault="00670E4A" w:rsidP="003871F8">
            <w:pPr>
              <w:rPr>
                <w:rFonts w:asciiTheme="minorHAnsi" w:hAnsiTheme="minorHAnsi" w:cstheme="minorHAnsi"/>
                <w:sz w:val="20"/>
                <w:szCs w:val="20"/>
              </w:rPr>
            </w:pPr>
          </w:p>
          <w:p w14:paraId="32428602" w14:textId="5FE2A2B1" w:rsidR="00670E4A" w:rsidRPr="00FE06B2" w:rsidRDefault="00670E4A" w:rsidP="003871F8">
            <w:pPr>
              <w:rPr>
                <w:rFonts w:asciiTheme="minorHAnsi" w:hAnsiTheme="minorHAnsi" w:cstheme="minorHAnsi"/>
                <w:sz w:val="20"/>
                <w:szCs w:val="20"/>
              </w:rPr>
            </w:pPr>
            <w:r w:rsidRPr="00FE06B2">
              <w:rPr>
                <w:rFonts w:asciiTheme="minorHAnsi" w:hAnsiTheme="minorHAnsi" w:cstheme="minorHAnsi"/>
                <w:sz w:val="20"/>
                <w:szCs w:val="20"/>
              </w:rPr>
              <w:t xml:space="preserve">Guide to the General Data Protection Regulation </w:t>
            </w:r>
            <w:hyperlink r:id="rId54" w:history="1">
              <w:r w:rsidRPr="00FE06B2">
                <w:rPr>
                  <w:rStyle w:val="Hyperlink"/>
                  <w:rFonts w:asciiTheme="minorHAnsi" w:hAnsiTheme="minorHAnsi" w:cstheme="minorHAnsi"/>
                  <w:sz w:val="20"/>
                  <w:szCs w:val="20"/>
                </w:rPr>
                <w:t>https://www.gov.uk/government/publications/guide-to-the-general-data-protection-regulation</w:t>
              </w:r>
            </w:hyperlink>
          </w:p>
          <w:p w14:paraId="3D1BCA60" w14:textId="77777777" w:rsidR="00670E4A" w:rsidRPr="00FE06B2" w:rsidRDefault="00670E4A" w:rsidP="003871F8">
            <w:pPr>
              <w:rPr>
                <w:rFonts w:asciiTheme="minorHAnsi" w:hAnsiTheme="minorHAnsi" w:cstheme="minorHAnsi"/>
                <w:sz w:val="20"/>
                <w:szCs w:val="20"/>
              </w:rPr>
            </w:pPr>
          </w:p>
          <w:p w14:paraId="6E2FA1EF" w14:textId="2879B35C" w:rsidR="00670E4A" w:rsidRPr="00FE06B2" w:rsidRDefault="00670E4A" w:rsidP="003871F8">
            <w:pPr>
              <w:rPr>
                <w:rFonts w:asciiTheme="minorHAnsi" w:hAnsiTheme="minorHAnsi" w:cstheme="minorHAnsi"/>
                <w:sz w:val="20"/>
                <w:szCs w:val="20"/>
              </w:rPr>
            </w:pPr>
            <w:r w:rsidRPr="00FE06B2">
              <w:rPr>
                <w:rFonts w:asciiTheme="minorHAnsi" w:hAnsiTheme="minorHAnsi" w:cstheme="minorHAnsi"/>
                <w:sz w:val="20"/>
                <w:szCs w:val="20"/>
              </w:rPr>
              <w:t>Human Fertilisation and Embry</w:t>
            </w:r>
            <w:r>
              <w:rPr>
                <w:rFonts w:asciiTheme="minorHAnsi" w:hAnsiTheme="minorHAnsi" w:cstheme="minorHAnsi"/>
                <w:sz w:val="20"/>
                <w:szCs w:val="20"/>
              </w:rPr>
              <w:t>o</w:t>
            </w:r>
            <w:r w:rsidRPr="00FE06B2">
              <w:rPr>
                <w:rFonts w:asciiTheme="minorHAnsi" w:hAnsiTheme="minorHAnsi" w:cstheme="minorHAnsi"/>
                <w:sz w:val="20"/>
                <w:szCs w:val="20"/>
              </w:rPr>
              <w:t xml:space="preserve">logy Act 2008 </w:t>
            </w:r>
            <w:hyperlink r:id="rId55" w:history="1">
              <w:r w:rsidRPr="00FE06B2">
                <w:rPr>
                  <w:rStyle w:val="Hyperlink"/>
                  <w:rFonts w:asciiTheme="minorHAnsi" w:hAnsiTheme="minorHAnsi" w:cstheme="minorHAnsi"/>
                  <w:sz w:val="20"/>
                  <w:szCs w:val="20"/>
                </w:rPr>
                <w:t>http://www.legislation.gov.uk/ukpga/2008/22/contents</w:t>
              </w:r>
            </w:hyperlink>
          </w:p>
          <w:p w14:paraId="34643E98" w14:textId="77777777" w:rsidR="00670E4A" w:rsidRPr="00FE06B2" w:rsidRDefault="00670E4A" w:rsidP="003871F8">
            <w:pPr>
              <w:rPr>
                <w:rFonts w:asciiTheme="minorHAnsi" w:hAnsiTheme="minorHAnsi" w:cstheme="minorHAnsi"/>
                <w:sz w:val="20"/>
                <w:szCs w:val="20"/>
              </w:rPr>
            </w:pPr>
          </w:p>
          <w:p w14:paraId="04C20EEF" w14:textId="372884C1" w:rsidR="00670E4A" w:rsidRPr="00FE06B2" w:rsidRDefault="00670E4A" w:rsidP="003871F8">
            <w:pPr>
              <w:rPr>
                <w:rFonts w:asciiTheme="minorHAnsi" w:hAnsiTheme="minorHAnsi" w:cstheme="minorHAnsi"/>
                <w:sz w:val="20"/>
                <w:szCs w:val="20"/>
              </w:rPr>
            </w:pPr>
            <w:r w:rsidRPr="00FE06B2">
              <w:rPr>
                <w:rFonts w:asciiTheme="minorHAnsi" w:hAnsiTheme="minorHAnsi" w:cstheme="minorHAnsi"/>
                <w:sz w:val="20"/>
                <w:szCs w:val="20"/>
              </w:rPr>
              <w:t xml:space="preserve">Mental Capacity Act Code of Practice 2005 </w:t>
            </w:r>
            <w:hyperlink r:id="rId56" w:history="1">
              <w:r w:rsidRPr="00FE06B2">
                <w:rPr>
                  <w:rStyle w:val="Hyperlink"/>
                  <w:rFonts w:asciiTheme="minorHAnsi" w:hAnsiTheme="minorHAnsi" w:cstheme="minorHAnsi"/>
                  <w:sz w:val="20"/>
                  <w:szCs w:val="20"/>
                </w:rPr>
                <w:t>https://www.gov.uk/government/publications/mental-capacity-act-code-of-practice</w:t>
              </w:r>
            </w:hyperlink>
          </w:p>
          <w:p w14:paraId="23C3A5C4" w14:textId="77777777" w:rsidR="00670E4A" w:rsidRPr="00FE06B2" w:rsidRDefault="00670E4A" w:rsidP="003871F8">
            <w:pPr>
              <w:rPr>
                <w:rFonts w:asciiTheme="minorHAnsi" w:hAnsiTheme="minorHAnsi" w:cstheme="minorHAnsi"/>
                <w:sz w:val="20"/>
                <w:szCs w:val="20"/>
              </w:rPr>
            </w:pPr>
          </w:p>
          <w:p w14:paraId="23BB19DC" w14:textId="77777777" w:rsidR="00670E4A" w:rsidRPr="00FE06B2" w:rsidRDefault="00670E4A" w:rsidP="003871F8">
            <w:pPr>
              <w:rPr>
                <w:rFonts w:asciiTheme="minorHAnsi" w:hAnsiTheme="minorHAnsi" w:cstheme="minorHAnsi"/>
                <w:sz w:val="20"/>
                <w:szCs w:val="20"/>
              </w:rPr>
            </w:pPr>
          </w:p>
        </w:tc>
      </w:tr>
    </w:tbl>
    <w:p w14:paraId="1B9E5621" w14:textId="77777777" w:rsidR="00670E4A" w:rsidRPr="00FE06B2" w:rsidRDefault="00670E4A" w:rsidP="00670E4A">
      <w:pPr>
        <w:rPr>
          <w:rFonts w:asciiTheme="minorHAnsi" w:hAnsiTheme="minorHAnsi" w:cstheme="minorHAnsi"/>
          <w:color w:val="000000" w:themeColor="text1"/>
          <w:sz w:val="20"/>
          <w:szCs w:val="20"/>
        </w:rPr>
      </w:pPr>
    </w:p>
    <w:p w14:paraId="245AFA05" w14:textId="77777777" w:rsidR="00670E4A" w:rsidRPr="00FE06B2" w:rsidRDefault="00670E4A" w:rsidP="00670E4A">
      <w:pPr>
        <w:rPr>
          <w:rFonts w:asciiTheme="minorHAnsi" w:hAnsiTheme="minorHAnsi" w:cstheme="minorHAnsi"/>
          <w:color w:val="000000" w:themeColor="text1"/>
          <w:sz w:val="20"/>
          <w:szCs w:val="20"/>
        </w:rPr>
      </w:pPr>
    </w:p>
    <w:p w14:paraId="513656F9" w14:textId="77777777" w:rsidR="00670E4A" w:rsidRPr="00FE06B2" w:rsidRDefault="00670E4A" w:rsidP="00670E4A">
      <w:pPr>
        <w:rPr>
          <w:rFonts w:asciiTheme="minorHAnsi" w:hAnsiTheme="minorHAnsi" w:cstheme="minorHAnsi"/>
          <w:sz w:val="20"/>
          <w:szCs w:val="20"/>
        </w:rPr>
      </w:pPr>
    </w:p>
    <w:p w14:paraId="2CB38166" w14:textId="77777777" w:rsidR="00670E4A" w:rsidRPr="00FE06B2" w:rsidRDefault="00670E4A" w:rsidP="00670E4A">
      <w:pPr>
        <w:rPr>
          <w:rFonts w:asciiTheme="minorHAnsi" w:hAnsiTheme="minorHAnsi"/>
          <w:sz w:val="20"/>
          <w:szCs w:val="20"/>
        </w:rPr>
      </w:pPr>
    </w:p>
    <w:p w14:paraId="3170E451" w14:textId="36AA9903" w:rsidR="00670E4A" w:rsidRPr="00670E4A" w:rsidRDefault="00670E4A" w:rsidP="00670E4A">
      <w:pPr>
        <w:rPr>
          <w:rFonts w:asciiTheme="minorHAnsi" w:hAnsiTheme="minorHAnsi"/>
          <w:b/>
          <w:bCs/>
          <w:iCs/>
          <w:caps/>
          <w:sz w:val="20"/>
          <w:szCs w:val="20"/>
        </w:rPr>
      </w:pPr>
    </w:p>
    <w:p w14:paraId="147D345F" w14:textId="77777777" w:rsidR="00EC2535" w:rsidRPr="00FE06B2" w:rsidRDefault="00EC2535" w:rsidP="00EC2535">
      <w:pPr>
        <w:jc w:val="both"/>
        <w:rPr>
          <w:rFonts w:asciiTheme="minorHAnsi" w:hAnsiTheme="minorHAnsi" w:cs="Arial"/>
          <w:b/>
          <w:sz w:val="20"/>
          <w:szCs w:val="20"/>
        </w:rPr>
      </w:pPr>
    </w:p>
    <w:p w14:paraId="577202EF" w14:textId="5C098BC7" w:rsidR="00C82E83" w:rsidRPr="00FE06B2" w:rsidRDefault="00C82E83" w:rsidP="00EC2535">
      <w:pPr>
        <w:jc w:val="both"/>
        <w:rPr>
          <w:rFonts w:asciiTheme="minorHAnsi" w:hAnsiTheme="minorHAnsi" w:cs="Arial"/>
          <w:b/>
          <w:sz w:val="20"/>
          <w:szCs w:val="20"/>
        </w:rPr>
      </w:pPr>
    </w:p>
    <w:p w14:paraId="46284D8A" w14:textId="77777777" w:rsidR="00C82E83" w:rsidRPr="00FE06B2" w:rsidRDefault="00C82E83" w:rsidP="00EC2535">
      <w:pPr>
        <w:jc w:val="both"/>
        <w:rPr>
          <w:rFonts w:asciiTheme="minorHAnsi" w:hAnsiTheme="minorHAnsi" w:cs="Arial"/>
          <w:b/>
          <w:sz w:val="20"/>
          <w:szCs w:val="20"/>
        </w:rPr>
      </w:pPr>
    </w:p>
    <w:p w14:paraId="023CC14C" w14:textId="7311FA91" w:rsidR="00EC2535" w:rsidRPr="00FE06B2" w:rsidRDefault="00EC2535" w:rsidP="00EC2535">
      <w:pPr>
        <w:jc w:val="both"/>
        <w:rPr>
          <w:rFonts w:asciiTheme="minorHAnsi" w:hAnsiTheme="minorHAnsi" w:cs="Arial"/>
          <w:b/>
          <w:sz w:val="20"/>
          <w:szCs w:val="20"/>
        </w:rPr>
      </w:pPr>
    </w:p>
    <w:sectPr w:rsidR="00EC2535" w:rsidRPr="00FE06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Neue">
    <w:altName w:val="Sylfaen"/>
    <w:panose1 w:val="02000A03050000020004"/>
    <w:charset w:val="00"/>
    <w:family w:val="auto"/>
    <w:pitch w:val="variable"/>
    <w:sig w:usb0="E50002FF" w:usb1="500079DB" w:usb2="00000010" w:usb3="00000000" w:csb0="00000001"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FreeSans">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38A"/>
    <w:multiLevelType w:val="multilevel"/>
    <w:tmpl w:val="876E24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F3C2A"/>
    <w:multiLevelType w:val="hybridMultilevel"/>
    <w:tmpl w:val="80EC84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57ADD"/>
    <w:multiLevelType w:val="multilevel"/>
    <w:tmpl w:val="6290A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496A8C"/>
    <w:multiLevelType w:val="hybridMultilevel"/>
    <w:tmpl w:val="9FB2F0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026E70"/>
    <w:multiLevelType w:val="multilevel"/>
    <w:tmpl w:val="19808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B12304"/>
    <w:multiLevelType w:val="hybridMultilevel"/>
    <w:tmpl w:val="D52451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A72960"/>
    <w:multiLevelType w:val="multilevel"/>
    <w:tmpl w:val="8826AA5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2601A6"/>
    <w:multiLevelType w:val="hybridMultilevel"/>
    <w:tmpl w:val="BA9CAB2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BE02E8D"/>
    <w:multiLevelType w:val="hybridMultilevel"/>
    <w:tmpl w:val="23B8C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924293"/>
    <w:multiLevelType w:val="hybridMultilevel"/>
    <w:tmpl w:val="69566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DB2F2B"/>
    <w:multiLevelType w:val="hybridMultilevel"/>
    <w:tmpl w:val="17E2A036"/>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53250C1B"/>
    <w:multiLevelType w:val="multilevel"/>
    <w:tmpl w:val="42ECD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0"/>
  </w:num>
  <w:num w:numId="4">
    <w:abstractNumId w:val="5"/>
  </w:num>
  <w:num w:numId="5">
    <w:abstractNumId w:val="1"/>
  </w:num>
  <w:num w:numId="6">
    <w:abstractNumId w:val="9"/>
  </w:num>
  <w:num w:numId="7">
    <w:abstractNumId w:val="8"/>
  </w:num>
  <w:num w:numId="8">
    <w:abstractNumId w:val="7"/>
  </w:num>
  <w:num w:numId="9">
    <w:abstractNumId w:val="11"/>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35"/>
    <w:rsid w:val="00001E63"/>
    <w:rsid w:val="00006AA9"/>
    <w:rsid w:val="00011C39"/>
    <w:rsid w:val="0003670D"/>
    <w:rsid w:val="00046830"/>
    <w:rsid w:val="000552C7"/>
    <w:rsid w:val="000668C2"/>
    <w:rsid w:val="00070B7C"/>
    <w:rsid w:val="00074DAE"/>
    <w:rsid w:val="00074DD5"/>
    <w:rsid w:val="0008102F"/>
    <w:rsid w:val="00082668"/>
    <w:rsid w:val="00090392"/>
    <w:rsid w:val="000A3C37"/>
    <w:rsid w:val="000A55A7"/>
    <w:rsid w:val="000A7F7E"/>
    <w:rsid w:val="000C5F69"/>
    <w:rsid w:val="000D5062"/>
    <w:rsid w:val="000F25AE"/>
    <w:rsid w:val="00131AE9"/>
    <w:rsid w:val="001373C4"/>
    <w:rsid w:val="0013780A"/>
    <w:rsid w:val="00142F71"/>
    <w:rsid w:val="001476B4"/>
    <w:rsid w:val="001673C8"/>
    <w:rsid w:val="00174DC5"/>
    <w:rsid w:val="00175FFD"/>
    <w:rsid w:val="00182EA3"/>
    <w:rsid w:val="00191CCF"/>
    <w:rsid w:val="001A0788"/>
    <w:rsid w:val="001A4120"/>
    <w:rsid w:val="001B4CB2"/>
    <w:rsid w:val="001C4371"/>
    <w:rsid w:val="001D7417"/>
    <w:rsid w:val="002078E9"/>
    <w:rsid w:val="00212A5C"/>
    <w:rsid w:val="00216A1E"/>
    <w:rsid w:val="00217FEC"/>
    <w:rsid w:val="00232944"/>
    <w:rsid w:val="00233ABC"/>
    <w:rsid w:val="002342AA"/>
    <w:rsid w:val="0024155E"/>
    <w:rsid w:val="002537AD"/>
    <w:rsid w:val="00263D1E"/>
    <w:rsid w:val="0026570D"/>
    <w:rsid w:val="002667D1"/>
    <w:rsid w:val="00277F0C"/>
    <w:rsid w:val="00290AB5"/>
    <w:rsid w:val="00292FB4"/>
    <w:rsid w:val="00293004"/>
    <w:rsid w:val="002B2E22"/>
    <w:rsid w:val="002B39C1"/>
    <w:rsid w:val="002C1AD3"/>
    <w:rsid w:val="002C3A5E"/>
    <w:rsid w:val="002D2A48"/>
    <w:rsid w:val="002D3AEA"/>
    <w:rsid w:val="002D6047"/>
    <w:rsid w:val="002D62E2"/>
    <w:rsid w:val="002E2305"/>
    <w:rsid w:val="002F1B11"/>
    <w:rsid w:val="00313B8B"/>
    <w:rsid w:val="0032335E"/>
    <w:rsid w:val="00337491"/>
    <w:rsid w:val="003411F7"/>
    <w:rsid w:val="00360339"/>
    <w:rsid w:val="00367BEE"/>
    <w:rsid w:val="003820C9"/>
    <w:rsid w:val="003867BC"/>
    <w:rsid w:val="003871F8"/>
    <w:rsid w:val="003B1133"/>
    <w:rsid w:val="003B5A3F"/>
    <w:rsid w:val="003E4A53"/>
    <w:rsid w:val="003F00F0"/>
    <w:rsid w:val="003F04DD"/>
    <w:rsid w:val="00404356"/>
    <w:rsid w:val="00422667"/>
    <w:rsid w:val="00423E6F"/>
    <w:rsid w:val="004370D7"/>
    <w:rsid w:val="00442DE4"/>
    <w:rsid w:val="00443A2D"/>
    <w:rsid w:val="00445AE9"/>
    <w:rsid w:val="00454B99"/>
    <w:rsid w:val="00456C3F"/>
    <w:rsid w:val="00480A89"/>
    <w:rsid w:val="00491441"/>
    <w:rsid w:val="00493FAF"/>
    <w:rsid w:val="004A4F5A"/>
    <w:rsid w:val="004B080F"/>
    <w:rsid w:val="004B4E55"/>
    <w:rsid w:val="004C752C"/>
    <w:rsid w:val="004F68F3"/>
    <w:rsid w:val="00500575"/>
    <w:rsid w:val="005021F2"/>
    <w:rsid w:val="00511BDD"/>
    <w:rsid w:val="00515545"/>
    <w:rsid w:val="0051665E"/>
    <w:rsid w:val="0055111E"/>
    <w:rsid w:val="00554309"/>
    <w:rsid w:val="005573D4"/>
    <w:rsid w:val="00561C5E"/>
    <w:rsid w:val="00573833"/>
    <w:rsid w:val="005965CE"/>
    <w:rsid w:val="005A13E8"/>
    <w:rsid w:val="005B7374"/>
    <w:rsid w:val="005D2A3C"/>
    <w:rsid w:val="005E24D5"/>
    <w:rsid w:val="005E6787"/>
    <w:rsid w:val="005E684B"/>
    <w:rsid w:val="005F14B4"/>
    <w:rsid w:val="005F46D4"/>
    <w:rsid w:val="005F5DA4"/>
    <w:rsid w:val="0061046B"/>
    <w:rsid w:val="00611F12"/>
    <w:rsid w:val="00616894"/>
    <w:rsid w:val="00643BE4"/>
    <w:rsid w:val="00657DAE"/>
    <w:rsid w:val="006666F7"/>
    <w:rsid w:val="00670E4A"/>
    <w:rsid w:val="006821D1"/>
    <w:rsid w:val="00693F24"/>
    <w:rsid w:val="00697D30"/>
    <w:rsid w:val="006A7679"/>
    <w:rsid w:val="006B3546"/>
    <w:rsid w:val="006C16D0"/>
    <w:rsid w:val="006C3894"/>
    <w:rsid w:val="006D3EAB"/>
    <w:rsid w:val="006D6C20"/>
    <w:rsid w:val="006E237B"/>
    <w:rsid w:val="006E39F4"/>
    <w:rsid w:val="006F00FF"/>
    <w:rsid w:val="006F60DA"/>
    <w:rsid w:val="006F7AE3"/>
    <w:rsid w:val="007013C6"/>
    <w:rsid w:val="00704C8C"/>
    <w:rsid w:val="00711A55"/>
    <w:rsid w:val="00716229"/>
    <w:rsid w:val="007400F6"/>
    <w:rsid w:val="007477E9"/>
    <w:rsid w:val="007554B6"/>
    <w:rsid w:val="007653EF"/>
    <w:rsid w:val="007810DC"/>
    <w:rsid w:val="00781F1A"/>
    <w:rsid w:val="007A5E8B"/>
    <w:rsid w:val="007B2E65"/>
    <w:rsid w:val="007B5451"/>
    <w:rsid w:val="007C7B5A"/>
    <w:rsid w:val="007D6C8E"/>
    <w:rsid w:val="007E24BD"/>
    <w:rsid w:val="007E434C"/>
    <w:rsid w:val="007E76D5"/>
    <w:rsid w:val="007E7ED7"/>
    <w:rsid w:val="007F5626"/>
    <w:rsid w:val="007F6168"/>
    <w:rsid w:val="00800215"/>
    <w:rsid w:val="0081100D"/>
    <w:rsid w:val="00842C25"/>
    <w:rsid w:val="008458C6"/>
    <w:rsid w:val="00851F76"/>
    <w:rsid w:val="008533AD"/>
    <w:rsid w:val="008664E7"/>
    <w:rsid w:val="008676FB"/>
    <w:rsid w:val="00874189"/>
    <w:rsid w:val="00887240"/>
    <w:rsid w:val="008C5D7E"/>
    <w:rsid w:val="008C73F9"/>
    <w:rsid w:val="008D199C"/>
    <w:rsid w:val="008D6AA4"/>
    <w:rsid w:val="008E29FA"/>
    <w:rsid w:val="008F7FF9"/>
    <w:rsid w:val="0090051A"/>
    <w:rsid w:val="0090055F"/>
    <w:rsid w:val="009027F6"/>
    <w:rsid w:val="00910400"/>
    <w:rsid w:val="0091349A"/>
    <w:rsid w:val="00913655"/>
    <w:rsid w:val="00915B91"/>
    <w:rsid w:val="00924F66"/>
    <w:rsid w:val="009377F0"/>
    <w:rsid w:val="00941416"/>
    <w:rsid w:val="0094787D"/>
    <w:rsid w:val="00954D43"/>
    <w:rsid w:val="009731AB"/>
    <w:rsid w:val="00976706"/>
    <w:rsid w:val="009A548D"/>
    <w:rsid w:val="009D6E73"/>
    <w:rsid w:val="009E3104"/>
    <w:rsid w:val="009E47CC"/>
    <w:rsid w:val="009E5A57"/>
    <w:rsid w:val="009E5F4C"/>
    <w:rsid w:val="00A0099B"/>
    <w:rsid w:val="00A3073C"/>
    <w:rsid w:val="00A30F34"/>
    <w:rsid w:val="00A3337F"/>
    <w:rsid w:val="00A4226F"/>
    <w:rsid w:val="00A53175"/>
    <w:rsid w:val="00A65841"/>
    <w:rsid w:val="00A73A95"/>
    <w:rsid w:val="00A73E75"/>
    <w:rsid w:val="00A90BD3"/>
    <w:rsid w:val="00A96057"/>
    <w:rsid w:val="00AB2E2C"/>
    <w:rsid w:val="00AC3FCE"/>
    <w:rsid w:val="00AC7DE6"/>
    <w:rsid w:val="00AD7110"/>
    <w:rsid w:val="00AF5CFE"/>
    <w:rsid w:val="00B02777"/>
    <w:rsid w:val="00B03AC2"/>
    <w:rsid w:val="00B21426"/>
    <w:rsid w:val="00B22F56"/>
    <w:rsid w:val="00B404A7"/>
    <w:rsid w:val="00B45E44"/>
    <w:rsid w:val="00B475C1"/>
    <w:rsid w:val="00B55A7A"/>
    <w:rsid w:val="00B61C74"/>
    <w:rsid w:val="00B72563"/>
    <w:rsid w:val="00B77DB0"/>
    <w:rsid w:val="00BA7888"/>
    <w:rsid w:val="00BB001C"/>
    <w:rsid w:val="00BC0865"/>
    <w:rsid w:val="00BD119F"/>
    <w:rsid w:val="00BD3FD6"/>
    <w:rsid w:val="00BE05AA"/>
    <w:rsid w:val="00BF7670"/>
    <w:rsid w:val="00C1306D"/>
    <w:rsid w:val="00C25C3A"/>
    <w:rsid w:val="00C47513"/>
    <w:rsid w:val="00C656C0"/>
    <w:rsid w:val="00C65BE1"/>
    <w:rsid w:val="00C82E83"/>
    <w:rsid w:val="00C83826"/>
    <w:rsid w:val="00C86F1D"/>
    <w:rsid w:val="00CB7015"/>
    <w:rsid w:val="00CC5FCB"/>
    <w:rsid w:val="00D17069"/>
    <w:rsid w:val="00D42EAA"/>
    <w:rsid w:val="00D46FED"/>
    <w:rsid w:val="00D556C6"/>
    <w:rsid w:val="00D558FD"/>
    <w:rsid w:val="00D66A39"/>
    <w:rsid w:val="00D71FA8"/>
    <w:rsid w:val="00D7601E"/>
    <w:rsid w:val="00D77447"/>
    <w:rsid w:val="00D81532"/>
    <w:rsid w:val="00D870FC"/>
    <w:rsid w:val="00D90324"/>
    <w:rsid w:val="00DA110F"/>
    <w:rsid w:val="00DA2DF8"/>
    <w:rsid w:val="00DB7CFA"/>
    <w:rsid w:val="00DC3688"/>
    <w:rsid w:val="00DC49D9"/>
    <w:rsid w:val="00DE66DD"/>
    <w:rsid w:val="00E01E00"/>
    <w:rsid w:val="00E02E83"/>
    <w:rsid w:val="00E03C65"/>
    <w:rsid w:val="00E05749"/>
    <w:rsid w:val="00E06BF7"/>
    <w:rsid w:val="00E15C43"/>
    <w:rsid w:val="00E3205C"/>
    <w:rsid w:val="00E40023"/>
    <w:rsid w:val="00E40A64"/>
    <w:rsid w:val="00E51F27"/>
    <w:rsid w:val="00E55320"/>
    <w:rsid w:val="00E612F1"/>
    <w:rsid w:val="00E85407"/>
    <w:rsid w:val="00E8662D"/>
    <w:rsid w:val="00EC2535"/>
    <w:rsid w:val="00EC6163"/>
    <w:rsid w:val="00ED09E3"/>
    <w:rsid w:val="00ED4E5B"/>
    <w:rsid w:val="00EF5657"/>
    <w:rsid w:val="00F10674"/>
    <w:rsid w:val="00F2680B"/>
    <w:rsid w:val="00F62F04"/>
    <w:rsid w:val="00F77A5D"/>
    <w:rsid w:val="00F86B04"/>
    <w:rsid w:val="00F9191A"/>
    <w:rsid w:val="00FA13CE"/>
    <w:rsid w:val="00FA5613"/>
    <w:rsid w:val="00FA6EC9"/>
    <w:rsid w:val="00FC665E"/>
    <w:rsid w:val="00FD2C1E"/>
    <w:rsid w:val="00FD352F"/>
    <w:rsid w:val="00FE06B2"/>
    <w:rsid w:val="00FF4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40BE"/>
  <w15:chartTrackingRefBased/>
  <w15:docId w15:val="{863FF935-7708-8B4C-BC44-5B8EAAEA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535"/>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2D3A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2535"/>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6">
    <w:name w:val="heading 6"/>
    <w:basedOn w:val="Normal"/>
    <w:next w:val="Normal"/>
    <w:link w:val="Heading6Char"/>
    <w:uiPriority w:val="9"/>
    <w:semiHidden/>
    <w:unhideWhenUsed/>
    <w:qFormat/>
    <w:rsid w:val="00B475C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51A"/>
    <w:pPr>
      <w:spacing w:before="100" w:beforeAutospacing="1" w:after="100" w:afterAutospacing="1"/>
    </w:pPr>
  </w:style>
  <w:style w:type="character" w:customStyle="1" w:styleId="Heading2Char">
    <w:name w:val="Heading 2 Char"/>
    <w:basedOn w:val="DefaultParagraphFont"/>
    <w:link w:val="Heading2"/>
    <w:uiPriority w:val="9"/>
    <w:rsid w:val="00EC2535"/>
    <w:rPr>
      <w:rFonts w:asciiTheme="majorHAnsi" w:eastAsiaTheme="majorEastAsia" w:hAnsiTheme="majorHAnsi" w:cstheme="majorBidi"/>
      <w:b/>
      <w:bCs/>
      <w:color w:val="4472C4" w:themeColor="accent1"/>
      <w:sz w:val="26"/>
      <w:szCs w:val="26"/>
      <w:lang w:eastAsia="en-GB"/>
    </w:rPr>
  </w:style>
  <w:style w:type="paragraph" w:styleId="ListParagraph">
    <w:name w:val="List Paragraph"/>
    <w:basedOn w:val="Normal"/>
    <w:uiPriority w:val="34"/>
    <w:qFormat/>
    <w:rsid w:val="00EC2535"/>
    <w:pPr>
      <w:ind w:left="720"/>
      <w:contextualSpacing/>
    </w:pPr>
  </w:style>
  <w:style w:type="character" w:styleId="Hyperlink">
    <w:name w:val="Hyperlink"/>
    <w:basedOn w:val="DefaultParagraphFont"/>
    <w:uiPriority w:val="99"/>
    <w:unhideWhenUsed/>
    <w:rsid w:val="00EC2535"/>
    <w:rPr>
      <w:color w:val="0563C1" w:themeColor="hyperlink"/>
      <w:u w:val="single"/>
    </w:rPr>
  </w:style>
  <w:style w:type="table" w:styleId="TableGrid">
    <w:name w:val="Table Grid"/>
    <w:basedOn w:val="TableNormal"/>
    <w:uiPriority w:val="39"/>
    <w:rsid w:val="00EC253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EC2535"/>
    <w:rPr>
      <w:sz w:val="20"/>
      <w:szCs w:val="20"/>
    </w:rPr>
  </w:style>
  <w:style w:type="character" w:customStyle="1" w:styleId="FootnoteTextChar">
    <w:name w:val="Footnote Text Char"/>
    <w:basedOn w:val="DefaultParagraphFont"/>
    <w:link w:val="FootnoteText"/>
    <w:rsid w:val="00EC2535"/>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26570D"/>
    <w:rPr>
      <w:sz w:val="16"/>
      <w:szCs w:val="16"/>
    </w:rPr>
  </w:style>
  <w:style w:type="paragraph" w:styleId="CommentText">
    <w:name w:val="annotation text"/>
    <w:basedOn w:val="Normal"/>
    <w:link w:val="CommentTextChar"/>
    <w:uiPriority w:val="99"/>
    <w:semiHidden/>
    <w:unhideWhenUsed/>
    <w:rsid w:val="0026570D"/>
    <w:rPr>
      <w:sz w:val="20"/>
      <w:szCs w:val="20"/>
    </w:rPr>
  </w:style>
  <w:style w:type="character" w:customStyle="1" w:styleId="CommentTextChar">
    <w:name w:val="Comment Text Char"/>
    <w:basedOn w:val="DefaultParagraphFont"/>
    <w:link w:val="CommentText"/>
    <w:uiPriority w:val="99"/>
    <w:semiHidden/>
    <w:rsid w:val="0026570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6570D"/>
    <w:rPr>
      <w:b/>
      <w:bCs/>
    </w:rPr>
  </w:style>
  <w:style w:type="character" w:customStyle="1" w:styleId="CommentSubjectChar">
    <w:name w:val="Comment Subject Char"/>
    <w:basedOn w:val="CommentTextChar"/>
    <w:link w:val="CommentSubject"/>
    <w:uiPriority w:val="99"/>
    <w:semiHidden/>
    <w:rsid w:val="0026570D"/>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2657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70D"/>
    <w:rPr>
      <w:rFonts w:ascii="Segoe UI" w:eastAsia="Times New Roman" w:hAnsi="Segoe UI" w:cs="Segoe UI"/>
      <w:sz w:val="18"/>
      <w:szCs w:val="18"/>
      <w:lang w:eastAsia="en-GB"/>
    </w:rPr>
  </w:style>
  <w:style w:type="character" w:customStyle="1" w:styleId="publicationcontentepubdate">
    <w:name w:val="publicationcontentepubdate"/>
    <w:basedOn w:val="DefaultParagraphFont"/>
    <w:rsid w:val="009E47CC"/>
  </w:style>
  <w:style w:type="character" w:customStyle="1" w:styleId="highwire-cite-authors">
    <w:name w:val="highwire-cite-authors"/>
    <w:basedOn w:val="DefaultParagraphFont"/>
    <w:rsid w:val="009E47CC"/>
  </w:style>
  <w:style w:type="character" w:customStyle="1" w:styleId="nlm-surname">
    <w:name w:val="nlm-surname"/>
    <w:basedOn w:val="DefaultParagraphFont"/>
    <w:rsid w:val="009E47CC"/>
  </w:style>
  <w:style w:type="character" w:customStyle="1" w:styleId="apple-converted-space">
    <w:name w:val="apple-converted-space"/>
    <w:basedOn w:val="DefaultParagraphFont"/>
    <w:rsid w:val="009E47CC"/>
  </w:style>
  <w:style w:type="character" w:customStyle="1" w:styleId="nlm-given-names">
    <w:name w:val="nlm-given-names"/>
    <w:basedOn w:val="DefaultParagraphFont"/>
    <w:rsid w:val="009E47CC"/>
  </w:style>
  <w:style w:type="character" w:customStyle="1" w:styleId="highwire-cite-title">
    <w:name w:val="highwire-cite-title"/>
    <w:basedOn w:val="DefaultParagraphFont"/>
    <w:rsid w:val="009E47CC"/>
  </w:style>
  <w:style w:type="character" w:customStyle="1" w:styleId="highwire-cite-metadata-journal">
    <w:name w:val="highwire-cite-metadata-journal"/>
    <w:basedOn w:val="DefaultParagraphFont"/>
    <w:rsid w:val="009E47CC"/>
  </w:style>
  <w:style w:type="character" w:customStyle="1" w:styleId="highwire-cite-metadata-date">
    <w:name w:val="highwire-cite-metadata-date"/>
    <w:basedOn w:val="DefaultParagraphFont"/>
    <w:rsid w:val="009E47CC"/>
  </w:style>
  <w:style w:type="character" w:customStyle="1" w:styleId="highwire-cite-metadata-volume">
    <w:name w:val="highwire-cite-metadata-volume"/>
    <w:basedOn w:val="DefaultParagraphFont"/>
    <w:rsid w:val="009E47CC"/>
  </w:style>
  <w:style w:type="character" w:customStyle="1" w:styleId="Heading1Char">
    <w:name w:val="Heading 1 Char"/>
    <w:basedOn w:val="DefaultParagraphFont"/>
    <w:link w:val="Heading1"/>
    <w:uiPriority w:val="9"/>
    <w:rsid w:val="002D3AEA"/>
    <w:rPr>
      <w:rFonts w:asciiTheme="majorHAnsi" w:eastAsiaTheme="majorEastAsia" w:hAnsiTheme="majorHAnsi" w:cstheme="majorBidi"/>
      <w:color w:val="2F5496" w:themeColor="accent1" w:themeShade="BF"/>
      <w:sz w:val="32"/>
      <w:szCs w:val="32"/>
      <w:lang w:eastAsia="en-GB"/>
    </w:rPr>
  </w:style>
  <w:style w:type="character" w:customStyle="1" w:styleId="a-size-base">
    <w:name w:val="a-size-base"/>
    <w:basedOn w:val="DefaultParagraphFont"/>
    <w:rsid w:val="002D3AEA"/>
  </w:style>
  <w:style w:type="character" w:customStyle="1" w:styleId="highwire-citation-author">
    <w:name w:val="highwire-citation-author"/>
    <w:basedOn w:val="DefaultParagraphFont"/>
    <w:rsid w:val="002D3AEA"/>
  </w:style>
  <w:style w:type="character" w:customStyle="1" w:styleId="highwire-cite-metadata-year">
    <w:name w:val="highwire-cite-metadata-year"/>
    <w:basedOn w:val="DefaultParagraphFont"/>
    <w:rsid w:val="002D3AEA"/>
  </w:style>
  <w:style w:type="character" w:customStyle="1" w:styleId="highwire-cite-metadata-pages">
    <w:name w:val="highwire-cite-metadata-pages"/>
    <w:basedOn w:val="DefaultParagraphFont"/>
    <w:rsid w:val="002D3AEA"/>
  </w:style>
  <w:style w:type="character" w:customStyle="1" w:styleId="bkciteavail">
    <w:name w:val="bk_cite_avail"/>
    <w:basedOn w:val="DefaultParagraphFont"/>
    <w:rsid w:val="002D3AEA"/>
  </w:style>
  <w:style w:type="character" w:customStyle="1" w:styleId="highwire-citation-authors">
    <w:name w:val="highwire-citation-authors"/>
    <w:basedOn w:val="DefaultParagraphFont"/>
    <w:rsid w:val="002D3AEA"/>
  </w:style>
  <w:style w:type="character" w:customStyle="1" w:styleId="citation-et">
    <w:name w:val="citation-et"/>
    <w:basedOn w:val="DefaultParagraphFont"/>
    <w:rsid w:val="002D3AEA"/>
  </w:style>
  <w:style w:type="character" w:styleId="FollowedHyperlink">
    <w:name w:val="FollowedHyperlink"/>
    <w:basedOn w:val="DefaultParagraphFont"/>
    <w:uiPriority w:val="99"/>
    <w:semiHidden/>
    <w:unhideWhenUsed/>
    <w:rsid w:val="00A3073C"/>
    <w:rPr>
      <w:color w:val="954F72" w:themeColor="followedHyperlink"/>
      <w:u w:val="single"/>
    </w:rPr>
  </w:style>
  <w:style w:type="character" w:customStyle="1" w:styleId="UnresolvedMention">
    <w:name w:val="Unresolved Mention"/>
    <w:basedOn w:val="DefaultParagraphFont"/>
    <w:uiPriority w:val="99"/>
    <w:semiHidden/>
    <w:unhideWhenUsed/>
    <w:rsid w:val="005F46D4"/>
    <w:rPr>
      <w:color w:val="605E5C"/>
      <w:shd w:val="clear" w:color="auto" w:fill="E1DFDD"/>
    </w:rPr>
  </w:style>
  <w:style w:type="character" w:customStyle="1" w:styleId="name">
    <w:name w:val="name"/>
    <w:basedOn w:val="DefaultParagraphFont"/>
    <w:rsid w:val="005E6787"/>
  </w:style>
  <w:style w:type="character" w:styleId="HTMLCite">
    <w:name w:val="HTML Cite"/>
    <w:basedOn w:val="DefaultParagraphFont"/>
    <w:uiPriority w:val="99"/>
    <w:semiHidden/>
    <w:unhideWhenUsed/>
    <w:rsid w:val="003871F8"/>
    <w:rPr>
      <w:i/>
      <w:iCs/>
    </w:rPr>
  </w:style>
  <w:style w:type="character" w:customStyle="1" w:styleId="highwire-access-icon">
    <w:name w:val="highwire-access-icon"/>
    <w:basedOn w:val="DefaultParagraphFont"/>
    <w:rsid w:val="003871F8"/>
  </w:style>
  <w:style w:type="character" w:customStyle="1" w:styleId="cit-source">
    <w:name w:val="cit-source"/>
    <w:basedOn w:val="DefaultParagraphFont"/>
    <w:rsid w:val="009377F0"/>
  </w:style>
  <w:style w:type="character" w:customStyle="1" w:styleId="cit-pub-date">
    <w:name w:val="cit-pub-date"/>
    <w:basedOn w:val="DefaultParagraphFont"/>
    <w:rsid w:val="009377F0"/>
  </w:style>
  <w:style w:type="character" w:customStyle="1" w:styleId="cit-vol">
    <w:name w:val="cit-vol"/>
    <w:basedOn w:val="DefaultParagraphFont"/>
    <w:rsid w:val="009377F0"/>
  </w:style>
  <w:style w:type="character" w:customStyle="1" w:styleId="cit-fpage">
    <w:name w:val="cit-fpage"/>
    <w:basedOn w:val="DefaultParagraphFont"/>
    <w:rsid w:val="009377F0"/>
  </w:style>
  <w:style w:type="paragraph" w:customStyle="1" w:styleId="last">
    <w:name w:val="last"/>
    <w:basedOn w:val="Normal"/>
    <w:rsid w:val="00C1306D"/>
    <w:pPr>
      <w:spacing w:before="100" w:beforeAutospacing="1" w:after="100" w:afterAutospacing="1"/>
    </w:pPr>
    <w:rPr>
      <w:lang w:val="en-US" w:eastAsia="en-US"/>
    </w:rPr>
  </w:style>
  <w:style w:type="character" w:customStyle="1" w:styleId="Heading6Char">
    <w:name w:val="Heading 6 Char"/>
    <w:basedOn w:val="DefaultParagraphFont"/>
    <w:link w:val="Heading6"/>
    <w:uiPriority w:val="9"/>
    <w:semiHidden/>
    <w:rsid w:val="00B475C1"/>
    <w:rPr>
      <w:rFonts w:asciiTheme="majorHAnsi" w:eastAsiaTheme="majorEastAsia" w:hAnsiTheme="majorHAnsi" w:cstheme="majorBidi"/>
      <w:color w:val="1F3763" w:themeColor="accent1" w:themeShade="7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87503">
      <w:bodyDiv w:val="1"/>
      <w:marLeft w:val="0"/>
      <w:marRight w:val="0"/>
      <w:marTop w:val="0"/>
      <w:marBottom w:val="0"/>
      <w:divBdr>
        <w:top w:val="none" w:sz="0" w:space="0" w:color="auto"/>
        <w:left w:val="none" w:sz="0" w:space="0" w:color="auto"/>
        <w:bottom w:val="none" w:sz="0" w:space="0" w:color="auto"/>
        <w:right w:val="none" w:sz="0" w:space="0" w:color="auto"/>
      </w:divBdr>
    </w:div>
    <w:div w:id="104619478">
      <w:bodyDiv w:val="1"/>
      <w:marLeft w:val="0"/>
      <w:marRight w:val="0"/>
      <w:marTop w:val="0"/>
      <w:marBottom w:val="0"/>
      <w:divBdr>
        <w:top w:val="none" w:sz="0" w:space="0" w:color="auto"/>
        <w:left w:val="none" w:sz="0" w:space="0" w:color="auto"/>
        <w:bottom w:val="none" w:sz="0" w:space="0" w:color="auto"/>
        <w:right w:val="none" w:sz="0" w:space="0" w:color="auto"/>
      </w:divBdr>
    </w:div>
    <w:div w:id="162092374">
      <w:bodyDiv w:val="1"/>
      <w:marLeft w:val="0"/>
      <w:marRight w:val="0"/>
      <w:marTop w:val="0"/>
      <w:marBottom w:val="0"/>
      <w:divBdr>
        <w:top w:val="none" w:sz="0" w:space="0" w:color="auto"/>
        <w:left w:val="none" w:sz="0" w:space="0" w:color="auto"/>
        <w:bottom w:val="none" w:sz="0" w:space="0" w:color="auto"/>
        <w:right w:val="none" w:sz="0" w:space="0" w:color="auto"/>
      </w:divBdr>
    </w:div>
    <w:div w:id="363753583">
      <w:bodyDiv w:val="1"/>
      <w:marLeft w:val="0"/>
      <w:marRight w:val="0"/>
      <w:marTop w:val="0"/>
      <w:marBottom w:val="0"/>
      <w:divBdr>
        <w:top w:val="none" w:sz="0" w:space="0" w:color="auto"/>
        <w:left w:val="none" w:sz="0" w:space="0" w:color="auto"/>
        <w:bottom w:val="none" w:sz="0" w:space="0" w:color="auto"/>
        <w:right w:val="none" w:sz="0" w:space="0" w:color="auto"/>
      </w:divBdr>
      <w:divsChild>
        <w:div w:id="1123381366">
          <w:marLeft w:val="0"/>
          <w:marRight w:val="0"/>
          <w:marTop w:val="0"/>
          <w:marBottom w:val="0"/>
          <w:divBdr>
            <w:top w:val="none" w:sz="0" w:space="0" w:color="auto"/>
            <w:left w:val="none" w:sz="0" w:space="0" w:color="auto"/>
            <w:bottom w:val="none" w:sz="0" w:space="0" w:color="auto"/>
            <w:right w:val="none" w:sz="0" w:space="0" w:color="auto"/>
          </w:divBdr>
          <w:divsChild>
            <w:div w:id="423495462">
              <w:marLeft w:val="0"/>
              <w:marRight w:val="0"/>
              <w:marTop w:val="0"/>
              <w:marBottom w:val="0"/>
              <w:divBdr>
                <w:top w:val="none" w:sz="0" w:space="0" w:color="auto"/>
                <w:left w:val="none" w:sz="0" w:space="0" w:color="auto"/>
                <w:bottom w:val="none" w:sz="0" w:space="0" w:color="auto"/>
                <w:right w:val="none" w:sz="0" w:space="0" w:color="auto"/>
              </w:divBdr>
              <w:divsChild>
                <w:div w:id="696588137">
                  <w:marLeft w:val="0"/>
                  <w:marRight w:val="0"/>
                  <w:marTop w:val="0"/>
                  <w:marBottom w:val="0"/>
                  <w:divBdr>
                    <w:top w:val="none" w:sz="0" w:space="0" w:color="auto"/>
                    <w:left w:val="none" w:sz="0" w:space="0" w:color="auto"/>
                    <w:bottom w:val="none" w:sz="0" w:space="0" w:color="auto"/>
                    <w:right w:val="none" w:sz="0" w:space="0" w:color="auto"/>
                  </w:divBdr>
                  <w:divsChild>
                    <w:div w:id="10451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689963">
          <w:marLeft w:val="0"/>
          <w:marRight w:val="0"/>
          <w:marTop w:val="0"/>
          <w:marBottom w:val="0"/>
          <w:divBdr>
            <w:top w:val="none" w:sz="0" w:space="0" w:color="auto"/>
            <w:left w:val="none" w:sz="0" w:space="0" w:color="auto"/>
            <w:bottom w:val="none" w:sz="0" w:space="0" w:color="auto"/>
            <w:right w:val="none" w:sz="0" w:space="0" w:color="auto"/>
          </w:divBdr>
          <w:divsChild>
            <w:div w:id="1233855026">
              <w:marLeft w:val="0"/>
              <w:marRight w:val="0"/>
              <w:marTop w:val="0"/>
              <w:marBottom w:val="0"/>
              <w:divBdr>
                <w:top w:val="none" w:sz="0" w:space="0" w:color="auto"/>
                <w:left w:val="none" w:sz="0" w:space="0" w:color="auto"/>
                <w:bottom w:val="none" w:sz="0" w:space="0" w:color="auto"/>
                <w:right w:val="none" w:sz="0" w:space="0" w:color="auto"/>
              </w:divBdr>
              <w:divsChild>
                <w:div w:id="981619456">
                  <w:marLeft w:val="0"/>
                  <w:marRight w:val="0"/>
                  <w:marTop w:val="0"/>
                  <w:marBottom w:val="0"/>
                  <w:divBdr>
                    <w:top w:val="none" w:sz="0" w:space="0" w:color="auto"/>
                    <w:left w:val="none" w:sz="0" w:space="0" w:color="auto"/>
                    <w:bottom w:val="none" w:sz="0" w:space="0" w:color="auto"/>
                    <w:right w:val="none" w:sz="0" w:space="0" w:color="auto"/>
                  </w:divBdr>
                  <w:divsChild>
                    <w:div w:id="941766741">
                      <w:marLeft w:val="0"/>
                      <w:marRight w:val="0"/>
                      <w:marTop w:val="0"/>
                      <w:marBottom w:val="300"/>
                      <w:divBdr>
                        <w:top w:val="none" w:sz="0" w:space="0" w:color="auto"/>
                        <w:left w:val="none" w:sz="0" w:space="0" w:color="auto"/>
                        <w:bottom w:val="none" w:sz="0" w:space="0" w:color="auto"/>
                        <w:right w:val="none" w:sz="0" w:space="0" w:color="auto"/>
                      </w:divBdr>
                      <w:divsChild>
                        <w:div w:id="742407304">
                          <w:marLeft w:val="0"/>
                          <w:marRight w:val="0"/>
                          <w:marTop w:val="0"/>
                          <w:marBottom w:val="0"/>
                          <w:divBdr>
                            <w:top w:val="none" w:sz="0" w:space="0" w:color="auto"/>
                            <w:left w:val="none" w:sz="0" w:space="0" w:color="auto"/>
                            <w:bottom w:val="none" w:sz="0" w:space="0" w:color="auto"/>
                            <w:right w:val="none" w:sz="0" w:space="0" w:color="auto"/>
                          </w:divBdr>
                          <w:divsChild>
                            <w:div w:id="1949703501">
                              <w:marLeft w:val="0"/>
                              <w:marRight w:val="0"/>
                              <w:marTop w:val="0"/>
                              <w:marBottom w:val="0"/>
                              <w:divBdr>
                                <w:top w:val="none" w:sz="0" w:space="0" w:color="auto"/>
                                <w:left w:val="none" w:sz="0" w:space="0" w:color="auto"/>
                                <w:bottom w:val="none" w:sz="0" w:space="0" w:color="auto"/>
                                <w:right w:val="none" w:sz="0" w:space="0" w:color="auto"/>
                              </w:divBdr>
                              <w:divsChild>
                                <w:div w:id="766076901">
                                  <w:marLeft w:val="0"/>
                                  <w:marRight w:val="0"/>
                                  <w:marTop w:val="0"/>
                                  <w:marBottom w:val="0"/>
                                  <w:divBdr>
                                    <w:top w:val="none" w:sz="0" w:space="0" w:color="auto"/>
                                    <w:left w:val="none" w:sz="0" w:space="0" w:color="auto"/>
                                    <w:bottom w:val="none" w:sz="0" w:space="0" w:color="auto"/>
                                    <w:right w:val="none" w:sz="0" w:space="0" w:color="auto"/>
                                  </w:divBdr>
                                  <w:divsChild>
                                    <w:div w:id="2073115433">
                                      <w:marLeft w:val="0"/>
                                      <w:marRight w:val="0"/>
                                      <w:marTop w:val="0"/>
                                      <w:marBottom w:val="150"/>
                                      <w:divBdr>
                                        <w:top w:val="none" w:sz="0" w:space="0" w:color="auto"/>
                                        <w:left w:val="none" w:sz="0" w:space="0" w:color="auto"/>
                                        <w:bottom w:val="none" w:sz="0" w:space="0" w:color="auto"/>
                                        <w:right w:val="none" w:sz="0" w:space="0" w:color="auto"/>
                                      </w:divBdr>
                                      <w:divsChild>
                                        <w:div w:id="632946865">
                                          <w:marLeft w:val="0"/>
                                          <w:marRight w:val="0"/>
                                          <w:marTop w:val="0"/>
                                          <w:marBottom w:val="0"/>
                                          <w:divBdr>
                                            <w:top w:val="none" w:sz="0" w:space="0" w:color="auto"/>
                                            <w:left w:val="none" w:sz="0" w:space="0" w:color="auto"/>
                                            <w:bottom w:val="none" w:sz="0" w:space="0" w:color="auto"/>
                                            <w:right w:val="none" w:sz="0" w:space="0" w:color="auto"/>
                                          </w:divBdr>
                                          <w:divsChild>
                                            <w:div w:id="60372767">
                                              <w:marLeft w:val="0"/>
                                              <w:marRight w:val="0"/>
                                              <w:marTop w:val="0"/>
                                              <w:marBottom w:val="0"/>
                                              <w:divBdr>
                                                <w:top w:val="none" w:sz="0" w:space="0" w:color="auto"/>
                                                <w:left w:val="none" w:sz="0" w:space="0" w:color="auto"/>
                                                <w:bottom w:val="none" w:sz="0" w:space="0" w:color="auto"/>
                                                <w:right w:val="none" w:sz="0" w:space="0" w:color="auto"/>
                                              </w:divBdr>
                                              <w:divsChild>
                                                <w:div w:id="18595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3793680">
      <w:bodyDiv w:val="1"/>
      <w:marLeft w:val="0"/>
      <w:marRight w:val="0"/>
      <w:marTop w:val="0"/>
      <w:marBottom w:val="0"/>
      <w:divBdr>
        <w:top w:val="none" w:sz="0" w:space="0" w:color="auto"/>
        <w:left w:val="none" w:sz="0" w:space="0" w:color="auto"/>
        <w:bottom w:val="none" w:sz="0" w:space="0" w:color="auto"/>
        <w:right w:val="none" w:sz="0" w:space="0" w:color="auto"/>
      </w:divBdr>
      <w:divsChild>
        <w:div w:id="590507018">
          <w:marLeft w:val="0"/>
          <w:marRight w:val="0"/>
          <w:marTop w:val="0"/>
          <w:marBottom w:val="0"/>
          <w:divBdr>
            <w:top w:val="none" w:sz="0" w:space="0" w:color="auto"/>
            <w:left w:val="none" w:sz="0" w:space="0" w:color="auto"/>
            <w:bottom w:val="none" w:sz="0" w:space="0" w:color="auto"/>
            <w:right w:val="none" w:sz="0" w:space="0" w:color="auto"/>
          </w:divBdr>
          <w:divsChild>
            <w:div w:id="318195538">
              <w:marLeft w:val="0"/>
              <w:marRight w:val="0"/>
              <w:marTop w:val="0"/>
              <w:marBottom w:val="0"/>
              <w:divBdr>
                <w:top w:val="none" w:sz="0" w:space="0" w:color="auto"/>
                <w:left w:val="none" w:sz="0" w:space="0" w:color="auto"/>
                <w:bottom w:val="none" w:sz="0" w:space="0" w:color="auto"/>
                <w:right w:val="none" w:sz="0" w:space="0" w:color="auto"/>
              </w:divBdr>
              <w:divsChild>
                <w:div w:id="590628753">
                  <w:marLeft w:val="0"/>
                  <w:marRight w:val="0"/>
                  <w:marTop w:val="0"/>
                  <w:marBottom w:val="0"/>
                  <w:divBdr>
                    <w:top w:val="none" w:sz="0" w:space="0" w:color="auto"/>
                    <w:left w:val="none" w:sz="0" w:space="0" w:color="auto"/>
                    <w:bottom w:val="none" w:sz="0" w:space="0" w:color="auto"/>
                    <w:right w:val="none" w:sz="0" w:space="0" w:color="auto"/>
                  </w:divBdr>
                  <w:divsChild>
                    <w:div w:id="2041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27895">
          <w:marLeft w:val="0"/>
          <w:marRight w:val="0"/>
          <w:marTop w:val="0"/>
          <w:marBottom w:val="0"/>
          <w:divBdr>
            <w:top w:val="none" w:sz="0" w:space="0" w:color="auto"/>
            <w:left w:val="none" w:sz="0" w:space="0" w:color="auto"/>
            <w:bottom w:val="none" w:sz="0" w:space="0" w:color="auto"/>
            <w:right w:val="none" w:sz="0" w:space="0" w:color="auto"/>
          </w:divBdr>
          <w:divsChild>
            <w:div w:id="1041244786">
              <w:marLeft w:val="0"/>
              <w:marRight w:val="0"/>
              <w:marTop w:val="0"/>
              <w:marBottom w:val="0"/>
              <w:divBdr>
                <w:top w:val="none" w:sz="0" w:space="0" w:color="auto"/>
                <w:left w:val="none" w:sz="0" w:space="0" w:color="auto"/>
                <w:bottom w:val="none" w:sz="0" w:space="0" w:color="auto"/>
                <w:right w:val="none" w:sz="0" w:space="0" w:color="auto"/>
              </w:divBdr>
              <w:divsChild>
                <w:div w:id="1270894302">
                  <w:marLeft w:val="0"/>
                  <w:marRight w:val="0"/>
                  <w:marTop w:val="0"/>
                  <w:marBottom w:val="0"/>
                  <w:divBdr>
                    <w:top w:val="none" w:sz="0" w:space="0" w:color="auto"/>
                    <w:left w:val="none" w:sz="0" w:space="0" w:color="auto"/>
                    <w:bottom w:val="none" w:sz="0" w:space="0" w:color="auto"/>
                    <w:right w:val="none" w:sz="0" w:space="0" w:color="auto"/>
                  </w:divBdr>
                  <w:divsChild>
                    <w:div w:id="48965029">
                      <w:marLeft w:val="0"/>
                      <w:marRight w:val="0"/>
                      <w:marTop w:val="0"/>
                      <w:marBottom w:val="300"/>
                      <w:divBdr>
                        <w:top w:val="none" w:sz="0" w:space="0" w:color="auto"/>
                        <w:left w:val="none" w:sz="0" w:space="0" w:color="auto"/>
                        <w:bottom w:val="none" w:sz="0" w:space="0" w:color="auto"/>
                        <w:right w:val="none" w:sz="0" w:space="0" w:color="auto"/>
                      </w:divBdr>
                      <w:divsChild>
                        <w:div w:id="910039589">
                          <w:marLeft w:val="0"/>
                          <w:marRight w:val="0"/>
                          <w:marTop w:val="0"/>
                          <w:marBottom w:val="0"/>
                          <w:divBdr>
                            <w:top w:val="none" w:sz="0" w:space="0" w:color="auto"/>
                            <w:left w:val="none" w:sz="0" w:space="0" w:color="auto"/>
                            <w:bottom w:val="none" w:sz="0" w:space="0" w:color="auto"/>
                            <w:right w:val="none" w:sz="0" w:space="0" w:color="auto"/>
                          </w:divBdr>
                          <w:divsChild>
                            <w:div w:id="409691171">
                              <w:marLeft w:val="0"/>
                              <w:marRight w:val="0"/>
                              <w:marTop w:val="0"/>
                              <w:marBottom w:val="0"/>
                              <w:divBdr>
                                <w:top w:val="none" w:sz="0" w:space="0" w:color="auto"/>
                                <w:left w:val="none" w:sz="0" w:space="0" w:color="auto"/>
                                <w:bottom w:val="none" w:sz="0" w:space="0" w:color="auto"/>
                                <w:right w:val="none" w:sz="0" w:space="0" w:color="auto"/>
                              </w:divBdr>
                              <w:divsChild>
                                <w:div w:id="583489399">
                                  <w:marLeft w:val="0"/>
                                  <w:marRight w:val="0"/>
                                  <w:marTop w:val="0"/>
                                  <w:marBottom w:val="0"/>
                                  <w:divBdr>
                                    <w:top w:val="none" w:sz="0" w:space="0" w:color="auto"/>
                                    <w:left w:val="none" w:sz="0" w:space="0" w:color="auto"/>
                                    <w:bottom w:val="none" w:sz="0" w:space="0" w:color="auto"/>
                                    <w:right w:val="none" w:sz="0" w:space="0" w:color="auto"/>
                                  </w:divBdr>
                                  <w:divsChild>
                                    <w:div w:id="1433932432">
                                      <w:marLeft w:val="0"/>
                                      <w:marRight w:val="0"/>
                                      <w:marTop w:val="0"/>
                                      <w:marBottom w:val="150"/>
                                      <w:divBdr>
                                        <w:top w:val="none" w:sz="0" w:space="0" w:color="auto"/>
                                        <w:left w:val="none" w:sz="0" w:space="0" w:color="auto"/>
                                        <w:bottom w:val="none" w:sz="0" w:space="0" w:color="auto"/>
                                        <w:right w:val="none" w:sz="0" w:space="0" w:color="auto"/>
                                      </w:divBdr>
                                      <w:divsChild>
                                        <w:div w:id="1929196086">
                                          <w:marLeft w:val="0"/>
                                          <w:marRight w:val="0"/>
                                          <w:marTop w:val="0"/>
                                          <w:marBottom w:val="0"/>
                                          <w:divBdr>
                                            <w:top w:val="none" w:sz="0" w:space="0" w:color="auto"/>
                                            <w:left w:val="none" w:sz="0" w:space="0" w:color="auto"/>
                                            <w:bottom w:val="none" w:sz="0" w:space="0" w:color="auto"/>
                                            <w:right w:val="none" w:sz="0" w:space="0" w:color="auto"/>
                                          </w:divBdr>
                                          <w:divsChild>
                                            <w:div w:id="1092386621">
                                              <w:marLeft w:val="0"/>
                                              <w:marRight w:val="0"/>
                                              <w:marTop w:val="0"/>
                                              <w:marBottom w:val="0"/>
                                              <w:divBdr>
                                                <w:top w:val="none" w:sz="0" w:space="0" w:color="auto"/>
                                                <w:left w:val="none" w:sz="0" w:space="0" w:color="auto"/>
                                                <w:bottom w:val="none" w:sz="0" w:space="0" w:color="auto"/>
                                                <w:right w:val="none" w:sz="0" w:space="0" w:color="auto"/>
                                              </w:divBdr>
                                              <w:divsChild>
                                                <w:div w:id="13034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0486557">
      <w:bodyDiv w:val="1"/>
      <w:marLeft w:val="0"/>
      <w:marRight w:val="0"/>
      <w:marTop w:val="0"/>
      <w:marBottom w:val="0"/>
      <w:divBdr>
        <w:top w:val="none" w:sz="0" w:space="0" w:color="auto"/>
        <w:left w:val="none" w:sz="0" w:space="0" w:color="auto"/>
        <w:bottom w:val="none" w:sz="0" w:space="0" w:color="auto"/>
        <w:right w:val="none" w:sz="0" w:space="0" w:color="auto"/>
      </w:divBdr>
    </w:div>
    <w:div w:id="704526673">
      <w:bodyDiv w:val="1"/>
      <w:marLeft w:val="0"/>
      <w:marRight w:val="0"/>
      <w:marTop w:val="0"/>
      <w:marBottom w:val="0"/>
      <w:divBdr>
        <w:top w:val="none" w:sz="0" w:space="0" w:color="auto"/>
        <w:left w:val="none" w:sz="0" w:space="0" w:color="auto"/>
        <w:bottom w:val="none" w:sz="0" w:space="0" w:color="auto"/>
        <w:right w:val="none" w:sz="0" w:space="0" w:color="auto"/>
      </w:divBdr>
      <w:divsChild>
        <w:div w:id="1673533409">
          <w:marLeft w:val="300"/>
          <w:marRight w:val="0"/>
          <w:marTop w:val="0"/>
          <w:marBottom w:val="0"/>
          <w:divBdr>
            <w:top w:val="none" w:sz="0" w:space="0" w:color="auto"/>
            <w:left w:val="none" w:sz="0" w:space="0" w:color="auto"/>
            <w:bottom w:val="none" w:sz="0" w:space="0" w:color="auto"/>
            <w:right w:val="none" w:sz="0" w:space="0" w:color="auto"/>
          </w:divBdr>
          <w:divsChild>
            <w:div w:id="894243327">
              <w:marLeft w:val="0"/>
              <w:marRight w:val="0"/>
              <w:marTop w:val="0"/>
              <w:marBottom w:val="0"/>
              <w:divBdr>
                <w:top w:val="none" w:sz="0" w:space="0" w:color="auto"/>
                <w:left w:val="none" w:sz="0" w:space="0" w:color="auto"/>
                <w:bottom w:val="none" w:sz="0" w:space="0" w:color="auto"/>
                <w:right w:val="none" w:sz="0" w:space="0" w:color="auto"/>
              </w:divBdr>
              <w:divsChild>
                <w:div w:id="436029299">
                  <w:marLeft w:val="0"/>
                  <w:marRight w:val="0"/>
                  <w:marTop w:val="0"/>
                  <w:marBottom w:val="0"/>
                  <w:divBdr>
                    <w:top w:val="none" w:sz="0" w:space="0" w:color="auto"/>
                    <w:left w:val="none" w:sz="0" w:space="0" w:color="auto"/>
                    <w:bottom w:val="none" w:sz="0" w:space="0" w:color="auto"/>
                    <w:right w:val="none" w:sz="0" w:space="0" w:color="auto"/>
                  </w:divBdr>
                  <w:divsChild>
                    <w:div w:id="2042700346">
                      <w:marLeft w:val="0"/>
                      <w:marRight w:val="0"/>
                      <w:marTop w:val="0"/>
                      <w:marBottom w:val="0"/>
                      <w:divBdr>
                        <w:top w:val="none" w:sz="0" w:space="0" w:color="auto"/>
                        <w:left w:val="none" w:sz="0" w:space="0" w:color="auto"/>
                        <w:bottom w:val="none" w:sz="0" w:space="0" w:color="auto"/>
                        <w:right w:val="none" w:sz="0" w:space="0" w:color="auto"/>
                      </w:divBdr>
                      <w:divsChild>
                        <w:div w:id="20906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25588">
          <w:marLeft w:val="0"/>
          <w:marRight w:val="0"/>
          <w:marTop w:val="0"/>
          <w:marBottom w:val="0"/>
          <w:divBdr>
            <w:top w:val="none" w:sz="0" w:space="0" w:color="auto"/>
            <w:left w:val="none" w:sz="0" w:space="0" w:color="auto"/>
            <w:bottom w:val="none" w:sz="0" w:space="0" w:color="auto"/>
            <w:right w:val="none" w:sz="0" w:space="0" w:color="auto"/>
          </w:divBdr>
          <w:divsChild>
            <w:div w:id="57104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6588">
      <w:bodyDiv w:val="1"/>
      <w:marLeft w:val="0"/>
      <w:marRight w:val="0"/>
      <w:marTop w:val="0"/>
      <w:marBottom w:val="0"/>
      <w:divBdr>
        <w:top w:val="none" w:sz="0" w:space="0" w:color="auto"/>
        <w:left w:val="none" w:sz="0" w:space="0" w:color="auto"/>
        <w:bottom w:val="none" w:sz="0" w:space="0" w:color="auto"/>
        <w:right w:val="none" w:sz="0" w:space="0" w:color="auto"/>
      </w:divBdr>
      <w:divsChild>
        <w:div w:id="1316103525">
          <w:marLeft w:val="0"/>
          <w:marRight w:val="0"/>
          <w:marTop w:val="0"/>
          <w:marBottom w:val="0"/>
          <w:divBdr>
            <w:top w:val="none" w:sz="0" w:space="0" w:color="auto"/>
            <w:left w:val="none" w:sz="0" w:space="0" w:color="auto"/>
            <w:bottom w:val="none" w:sz="0" w:space="0" w:color="auto"/>
            <w:right w:val="none" w:sz="0" w:space="0" w:color="auto"/>
          </w:divBdr>
        </w:div>
        <w:div w:id="379523885">
          <w:marLeft w:val="0"/>
          <w:marRight w:val="0"/>
          <w:marTop w:val="0"/>
          <w:marBottom w:val="0"/>
          <w:divBdr>
            <w:top w:val="none" w:sz="0" w:space="0" w:color="auto"/>
            <w:left w:val="none" w:sz="0" w:space="0" w:color="auto"/>
            <w:bottom w:val="none" w:sz="0" w:space="0" w:color="auto"/>
            <w:right w:val="none" w:sz="0" w:space="0" w:color="auto"/>
          </w:divBdr>
          <w:divsChild>
            <w:div w:id="8546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4978">
      <w:bodyDiv w:val="1"/>
      <w:marLeft w:val="0"/>
      <w:marRight w:val="0"/>
      <w:marTop w:val="0"/>
      <w:marBottom w:val="0"/>
      <w:divBdr>
        <w:top w:val="none" w:sz="0" w:space="0" w:color="auto"/>
        <w:left w:val="none" w:sz="0" w:space="0" w:color="auto"/>
        <w:bottom w:val="none" w:sz="0" w:space="0" w:color="auto"/>
        <w:right w:val="none" w:sz="0" w:space="0" w:color="auto"/>
      </w:divBdr>
      <w:divsChild>
        <w:div w:id="631249725">
          <w:marLeft w:val="0"/>
          <w:marRight w:val="0"/>
          <w:marTop w:val="0"/>
          <w:marBottom w:val="0"/>
          <w:divBdr>
            <w:top w:val="none" w:sz="0" w:space="0" w:color="auto"/>
            <w:left w:val="none" w:sz="0" w:space="0" w:color="auto"/>
            <w:bottom w:val="none" w:sz="0" w:space="0" w:color="auto"/>
            <w:right w:val="none" w:sz="0" w:space="0" w:color="auto"/>
          </w:divBdr>
          <w:divsChild>
            <w:div w:id="539168463">
              <w:marLeft w:val="0"/>
              <w:marRight w:val="0"/>
              <w:marTop w:val="0"/>
              <w:marBottom w:val="0"/>
              <w:divBdr>
                <w:top w:val="none" w:sz="0" w:space="0" w:color="auto"/>
                <w:left w:val="none" w:sz="0" w:space="0" w:color="auto"/>
                <w:bottom w:val="none" w:sz="0" w:space="0" w:color="auto"/>
                <w:right w:val="none" w:sz="0" w:space="0" w:color="auto"/>
              </w:divBdr>
              <w:divsChild>
                <w:div w:id="1831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368">
          <w:marLeft w:val="0"/>
          <w:marRight w:val="0"/>
          <w:marTop w:val="0"/>
          <w:marBottom w:val="0"/>
          <w:divBdr>
            <w:top w:val="none" w:sz="0" w:space="0" w:color="auto"/>
            <w:left w:val="none" w:sz="0" w:space="0" w:color="auto"/>
            <w:bottom w:val="none" w:sz="0" w:space="0" w:color="auto"/>
            <w:right w:val="none" w:sz="0" w:space="0" w:color="auto"/>
          </w:divBdr>
          <w:divsChild>
            <w:div w:id="784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57787">
      <w:bodyDiv w:val="1"/>
      <w:marLeft w:val="0"/>
      <w:marRight w:val="0"/>
      <w:marTop w:val="0"/>
      <w:marBottom w:val="0"/>
      <w:divBdr>
        <w:top w:val="none" w:sz="0" w:space="0" w:color="auto"/>
        <w:left w:val="none" w:sz="0" w:space="0" w:color="auto"/>
        <w:bottom w:val="none" w:sz="0" w:space="0" w:color="auto"/>
        <w:right w:val="none" w:sz="0" w:space="0" w:color="auto"/>
      </w:divBdr>
    </w:div>
    <w:div w:id="1352224706">
      <w:bodyDiv w:val="1"/>
      <w:marLeft w:val="0"/>
      <w:marRight w:val="0"/>
      <w:marTop w:val="0"/>
      <w:marBottom w:val="0"/>
      <w:divBdr>
        <w:top w:val="none" w:sz="0" w:space="0" w:color="auto"/>
        <w:left w:val="none" w:sz="0" w:space="0" w:color="auto"/>
        <w:bottom w:val="none" w:sz="0" w:space="0" w:color="auto"/>
        <w:right w:val="none" w:sz="0" w:space="0" w:color="auto"/>
      </w:divBdr>
    </w:div>
    <w:div w:id="1547640580">
      <w:bodyDiv w:val="1"/>
      <w:marLeft w:val="0"/>
      <w:marRight w:val="0"/>
      <w:marTop w:val="0"/>
      <w:marBottom w:val="0"/>
      <w:divBdr>
        <w:top w:val="none" w:sz="0" w:space="0" w:color="auto"/>
        <w:left w:val="none" w:sz="0" w:space="0" w:color="auto"/>
        <w:bottom w:val="none" w:sz="0" w:space="0" w:color="auto"/>
        <w:right w:val="none" w:sz="0" w:space="0" w:color="auto"/>
      </w:divBdr>
    </w:div>
    <w:div w:id="1785691229">
      <w:bodyDiv w:val="1"/>
      <w:marLeft w:val="0"/>
      <w:marRight w:val="0"/>
      <w:marTop w:val="0"/>
      <w:marBottom w:val="0"/>
      <w:divBdr>
        <w:top w:val="none" w:sz="0" w:space="0" w:color="auto"/>
        <w:left w:val="none" w:sz="0" w:space="0" w:color="auto"/>
        <w:bottom w:val="none" w:sz="0" w:space="0" w:color="auto"/>
        <w:right w:val="none" w:sz="0" w:space="0" w:color="auto"/>
      </w:divBdr>
    </w:div>
    <w:div w:id="1840466556">
      <w:bodyDiv w:val="1"/>
      <w:marLeft w:val="0"/>
      <w:marRight w:val="0"/>
      <w:marTop w:val="0"/>
      <w:marBottom w:val="0"/>
      <w:divBdr>
        <w:top w:val="none" w:sz="0" w:space="0" w:color="auto"/>
        <w:left w:val="none" w:sz="0" w:space="0" w:color="auto"/>
        <w:bottom w:val="none" w:sz="0" w:space="0" w:color="auto"/>
        <w:right w:val="none" w:sz="0" w:space="0" w:color="auto"/>
      </w:divBdr>
      <w:divsChild>
        <w:div w:id="1329599373">
          <w:marLeft w:val="0"/>
          <w:marRight w:val="0"/>
          <w:marTop w:val="0"/>
          <w:marBottom w:val="0"/>
          <w:divBdr>
            <w:top w:val="none" w:sz="0" w:space="0" w:color="auto"/>
            <w:left w:val="none" w:sz="0" w:space="0" w:color="auto"/>
            <w:bottom w:val="none" w:sz="0" w:space="0" w:color="auto"/>
            <w:right w:val="none" w:sz="0" w:space="0" w:color="auto"/>
          </w:divBdr>
          <w:divsChild>
            <w:div w:id="1847594651">
              <w:marLeft w:val="0"/>
              <w:marRight w:val="0"/>
              <w:marTop w:val="0"/>
              <w:marBottom w:val="0"/>
              <w:divBdr>
                <w:top w:val="none" w:sz="0" w:space="0" w:color="auto"/>
                <w:left w:val="none" w:sz="0" w:space="0" w:color="auto"/>
                <w:bottom w:val="none" w:sz="0" w:space="0" w:color="auto"/>
                <w:right w:val="none" w:sz="0" w:space="0" w:color="auto"/>
              </w:divBdr>
              <w:divsChild>
                <w:div w:id="631862653">
                  <w:marLeft w:val="0"/>
                  <w:marRight w:val="0"/>
                  <w:marTop w:val="0"/>
                  <w:marBottom w:val="0"/>
                  <w:divBdr>
                    <w:top w:val="none" w:sz="0" w:space="0" w:color="auto"/>
                    <w:left w:val="none" w:sz="0" w:space="0" w:color="auto"/>
                    <w:bottom w:val="none" w:sz="0" w:space="0" w:color="auto"/>
                    <w:right w:val="none" w:sz="0" w:space="0" w:color="auto"/>
                  </w:divBdr>
                  <w:divsChild>
                    <w:div w:id="114112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78107">
          <w:marLeft w:val="0"/>
          <w:marRight w:val="0"/>
          <w:marTop w:val="0"/>
          <w:marBottom w:val="0"/>
          <w:divBdr>
            <w:top w:val="none" w:sz="0" w:space="0" w:color="auto"/>
            <w:left w:val="none" w:sz="0" w:space="0" w:color="auto"/>
            <w:bottom w:val="none" w:sz="0" w:space="0" w:color="auto"/>
            <w:right w:val="none" w:sz="0" w:space="0" w:color="auto"/>
          </w:divBdr>
          <w:divsChild>
            <w:div w:id="228267408">
              <w:marLeft w:val="0"/>
              <w:marRight w:val="0"/>
              <w:marTop w:val="0"/>
              <w:marBottom w:val="0"/>
              <w:divBdr>
                <w:top w:val="none" w:sz="0" w:space="0" w:color="auto"/>
                <w:left w:val="none" w:sz="0" w:space="0" w:color="auto"/>
                <w:bottom w:val="none" w:sz="0" w:space="0" w:color="auto"/>
                <w:right w:val="none" w:sz="0" w:space="0" w:color="auto"/>
              </w:divBdr>
              <w:divsChild>
                <w:div w:id="1902519602">
                  <w:marLeft w:val="0"/>
                  <w:marRight w:val="0"/>
                  <w:marTop w:val="0"/>
                  <w:marBottom w:val="0"/>
                  <w:divBdr>
                    <w:top w:val="none" w:sz="0" w:space="0" w:color="auto"/>
                    <w:left w:val="none" w:sz="0" w:space="0" w:color="auto"/>
                    <w:bottom w:val="none" w:sz="0" w:space="0" w:color="auto"/>
                    <w:right w:val="none" w:sz="0" w:space="0" w:color="auto"/>
                  </w:divBdr>
                  <w:divsChild>
                    <w:div w:id="1931503719">
                      <w:marLeft w:val="0"/>
                      <w:marRight w:val="0"/>
                      <w:marTop w:val="0"/>
                      <w:marBottom w:val="300"/>
                      <w:divBdr>
                        <w:top w:val="none" w:sz="0" w:space="0" w:color="auto"/>
                        <w:left w:val="none" w:sz="0" w:space="0" w:color="auto"/>
                        <w:bottom w:val="none" w:sz="0" w:space="0" w:color="auto"/>
                        <w:right w:val="none" w:sz="0" w:space="0" w:color="auto"/>
                      </w:divBdr>
                      <w:divsChild>
                        <w:div w:id="1032652403">
                          <w:marLeft w:val="0"/>
                          <w:marRight w:val="0"/>
                          <w:marTop w:val="0"/>
                          <w:marBottom w:val="0"/>
                          <w:divBdr>
                            <w:top w:val="none" w:sz="0" w:space="0" w:color="auto"/>
                            <w:left w:val="none" w:sz="0" w:space="0" w:color="auto"/>
                            <w:bottom w:val="none" w:sz="0" w:space="0" w:color="auto"/>
                            <w:right w:val="none" w:sz="0" w:space="0" w:color="auto"/>
                          </w:divBdr>
                          <w:divsChild>
                            <w:div w:id="2044818125">
                              <w:marLeft w:val="0"/>
                              <w:marRight w:val="0"/>
                              <w:marTop w:val="0"/>
                              <w:marBottom w:val="0"/>
                              <w:divBdr>
                                <w:top w:val="none" w:sz="0" w:space="0" w:color="auto"/>
                                <w:left w:val="none" w:sz="0" w:space="0" w:color="auto"/>
                                <w:bottom w:val="none" w:sz="0" w:space="0" w:color="auto"/>
                                <w:right w:val="none" w:sz="0" w:space="0" w:color="auto"/>
                              </w:divBdr>
                              <w:divsChild>
                                <w:div w:id="16852661">
                                  <w:marLeft w:val="0"/>
                                  <w:marRight w:val="0"/>
                                  <w:marTop w:val="0"/>
                                  <w:marBottom w:val="0"/>
                                  <w:divBdr>
                                    <w:top w:val="none" w:sz="0" w:space="0" w:color="auto"/>
                                    <w:left w:val="none" w:sz="0" w:space="0" w:color="auto"/>
                                    <w:bottom w:val="none" w:sz="0" w:space="0" w:color="auto"/>
                                    <w:right w:val="none" w:sz="0" w:space="0" w:color="auto"/>
                                  </w:divBdr>
                                  <w:divsChild>
                                    <w:div w:id="1974479515">
                                      <w:marLeft w:val="0"/>
                                      <w:marRight w:val="0"/>
                                      <w:marTop w:val="0"/>
                                      <w:marBottom w:val="150"/>
                                      <w:divBdr>
                                        <w:top w:val="none" w:sz="0" w:space="0" w:color="auto"/>
                                        <w:left w:val="none" w:sz="0" w:space="0" w:color="auto"/>
                                        <w:bottom w:val="none" w:sz="0" w:space="0" w:color="auto"/>
                                        <w:right w:val="none" w:sz="0" w:space="0" w:color="auto"/>
                                      </w:divBdr>
                                      <w:divsChild>
                                        <w:div w:id="2016958740">
                                          <w:marLeft w:val="0"/>
                                          <w:marRight w:val="0"/>
                                          <w:marTop w:val="0"/>
                                          <w:marBottom w:val="0"/>
                                          <w:divBdr>
                                            <w:top w:val="none" w:sz="0" w:space="0" w:color="auto"/>
                                            <w:left w:val="none" w:sz="0" w:space="0" w:color="auto"/>
                                            <w:bottom w:val="none" w:sz="0" w:space="0" w:color="auto"/>
                                            <w:right w:val="none" w:sz="0" w:space="0" w:color="auto"/>
                                          </w:divBdr>
                                          <w:divsChild>
                                            <w:div w:id="324170610">
                                              <w:marLeft w:val="0"/>
                                              <w:marRight w:val="0"/>
                                              <w:marTop w:val="0"/>
                                              <w:marBottom w:val="0"/>
                                              <w:divBdr>
                                                <w:top w:val="none" w:sz="0" w:space="0" w:color="auto"/>
                                                <w:left w:val="none" w:sz="0" w:space="0" w:color="auto"/>
                                                <w:bottom w:val="none" w:sz="0" w:space="0" w:color="auto"/>
                                                <w:right w:val="none" w:sz="0" w:space="0" w:color="auto"/>
                                              </w:divBdr>
                                              <w:divsChild>
                                                <w:div w:id="113764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1736919">
      <w:bodyDiv w:val="1"/>
      <w:marLeft w:val="0"/>
      <w:marRight w:val="0"/>
      <w:marTop w:val="0"/>
      <w:marBottom w:val="0"/>
      <w:divBdr>
        <w:top w:val="none" w:sz="0" w:space="0" w:color="auto"/>
        <w:left w:val="none" w:sz="0" w:space="0" w:color="auto"/>
        <w:bottom w:val="none" w:sz="0" w:space="0" w:color="auto"/>
        <w:right w:val="none" w:sz="0" w:space="0" w:color="auto"/>
      </w:divBdr>
      <w:divsChild>
        <w:div w:id="1404988854">
          <w:marLeft w:val="0"/>
          <w:marRight w:val="0"/>
          <w:marTop w:val="0"/>
          <w:marBottom w:val="0"/>
          <w:divBdr>
            <w:top w:val="none" w:sz="0" w:space="0" w:color="auto"/>
            <w:left w:val="none" w:sz="0" w:space="0" w:color="auto"/>
            <w:bottom w:val="none" w:sz="0" w:space="0" w:color="auto"/>
            <w:right w:val="none" w:sz="0" w:space="0" w:color="auto"/>
          </w:divBdr>
          <w:divsChild>
            <w:div w:id="1456291359">
              <w:marLeft w:val="0"/>
              <w:marRight w:val="0"/>
              <w:marTop w:val="0"/>
              <w:marBottom w:val="0"/>
              <w:divBdr>
                <w:top w:val="none" w:sz="0" w:space="0" w:color="auto"/>
                <w:left w:val="none" w:sz="0" w:space="0" w:color="auto"/>
                <w:bottom w:val="none" w:sz="0" w:space="0" w:color="auto"/>
                <w:right w:val="none" w:sz="0" w:space="0" w:color="auto"/>
              </w:divBdr>
              <w:divsChild>
                <w:div w:id="14026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books/NBK550266/" TargetMode="External"/><Relationship Id="rId18" Type="http://schemas.openxmlformats.org/officeDocument/2006/relationships/hyperlink" Target="https://www.gov.uk/government/publications/mental-capacity-act-code-of-practice" TargetMode="External"/><Relationship Id="rId26" Type="http://schemas.openxmlformats.org/officeDocument/2006/relationships/hyperlink" Target="http://www.lawcom.gov.uk/project/mental-capacity-and-deprivation-of-liberty" TargetMode="External"/><Relationship Id="rId39" Type="http://schemas.openxmlformats.org/officeDocument/2006/relationships/hyperlink" Target="https://www.rcpch.ac.uk/resources/professional-ethics-law-resources" TargetMode="External"/><Relationship Id="rId21" Type="http://schemas.openxmlformats.org/officeDocument/2006/relationships/hyperlink" Target="https://www.jw.org/en/jehovahs-witnesses/faq/jehovahs-witnesses-why-no-blood-transfusions/" TargetMode="External"/><Relationship Id="rId34" Type="http://schemas.openxmlformats.org/officeDocument/2006/relationships/hyperlink" Target="https://jme.bmj.com/content/26/5/323.full" TargetMode="External"/><Relationship Id="rId42" Type="http://schemas.openxmlformats.org/officeDocument/2006/relationships/hyperlink" Target="https://www.judiciary.uk/wp-content/uploads/2017/07/gosh-v-gard-24072017.pdf" TargetMode="External"/><Relationship Id="rId47" Type="http://schemas.openxmlformats.org/officeDocument/2006/relationships/hyperlink" Target="https://www.bma.org.uk/advice/employment/ethics/mental-capacity/clinically-assisted-nutrition-and-hydration" TargetMode="External"/><Relationship Id="rId50" Type="http://schemas.openxmlformats.org/officeDocument/2006/relationships/hyperlink" Target="https://www.southampton.ac.uk/news/2016/04/ethics-of-genomics.page" TargetMode="External"/><Relationship Id="rId55" Type="http://schemas.openxmlformats.org/officeDocument/2006/relationships/hyperlink" Target="http://www.legislation.gov.uk/ukpga/2008/22/contents" TargetMode="External"/><Relationship Id="rId7" Type="http://schemas.openxmlformats.org/officeDocument/2006/relationships/hyperlink" Target="https://www.medschools.ac.uk/our-work/assessment" TargetMode="External"/><Relationship Id="rId12" Type="http://schemas.openxmlformats.org/officeDocument/2006/relationships/hyperlink" Target="https://jme.bmj.com/content/medethics/21/1/19.full.pdf" TargetMode="External"/><Relationship Id="rId17" Type="http://schemas.openxmlformats.org/officeDocument/2006/relationships/hyperlink" Target="http://ministryofethics.co.uk/index.php" TargetMode="External"/><Relationship Id="rId25" Type="http://schemas.openxmlformats.org/officeDocument/2006/relationships/hyperlink" Target="https://www.gov.uk/courts-tribunals/court-of-protection" TargetMode="External"/><Relationship Id="rId33" Type="http://schemas.openxmlformats.org/officeDocument/2006/relationships/hyperlink" Target="https://www.gmc-uk.org/ethical-guidance/ethical-guidance-for-doctors/confidentiality" TargetMode="External"/><Relationship Id="rId38" Type="http://schemas.openxmlformats.org/officeDocument/2006/relationships/hyperlink" Target="https://www.gmc-uk.org/ethical-guidance/ethical-guidance-for-doctors/0-18-years" TargetMode="External"/><Relationship Id="rId46" Type="http://schemas.openxmlformats.org/officeDocument/2006/relationships/hyperlink" Target="https://www.bma.org.uk/advice-and-support/ethics/end-of-life/end-of-life-care-and-physician-assisted-dying-project" TargetMode="External"/><Relationship Id="rId2" Type="http://schemas.openxmlformats.org/officeDocument/2006/relationships/numbering" Target="numbering.xml"/><Relationship Id="rId16" Type="http://schemas.openxmlformats.org/officeDocument/2006/relationships/hyperlink" Target="https://www.gmc-uk.org/education/standards-guidance-and-curricula/guidance/student-professionalism-and-ftp/professionalism-in-teaching" TargetMode="External"/><Relationship Id="rId20" Type="http://schemas.openxmlformats.org/officeDocument/2006/relationships/hyperlink" Target="http://www.bbc.co.uk/radio4/science/ethicscommittee_20050511.shtml" TargetMode="External"/><Relationship Id="rId29" Type="http://schemas.openxmlformats.org/officeDocument/2006/relationships/hyperlink" Target="https://www.gmc-uk.org/Mental_Capacity_flowchart/CaseStudies" TargetMode="External"/><Relationship Id="rId41" Type="http://schemas.openxmlformats.org/officeDocument/2006/relationships/hyperlink" Target="https://www.legislation.gov.uk/ukpga/2004/31/contents" TargetMode="External"/><Relationship Id="rId54" Type="http://schemas.openxmlformats.org/officeDocument/2006/relationships/hyperlink" Target="https://www.gov.uk/government/publications/guide-to-the-general-data-protection-regulatio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ministryofethics.co.uk" TargetMode="External"/><Relationship Id="rId24" Type="http://schemas.openxmlformats.org/officeDocument/2006/relationships/hyperlink" Target="https://assets.publishing.service.gov.uk/government/uploads/system/uploads/attachment_data/file/365629/making-decisions-opg606-1207.pdf" TargetMode="External"/><Relationship Id="rId32" Type="http://schemas.openxmlformats.org/officeDocument/2006/relationships/hyperlink" Target="http://www.familylawweek.co.uk/site.aspx?i=ed409" TargetMode="External"/><Relationship Id="rId37" Type="http://schemas.openxmlformats.org/officeDocument/2006/relationships/hyperlink" Target="https://www.gov.uk/government/publications/public-health-ethics-in-practice" TargetMode="External"/><Relationship Id="rId40" Type="http://schemas.openxmlformats.org/officeDocument/2006/relationships/hyperlink" Target="https://www.gov.uk/government/publications/mental-capacity-act-code-of-practice" TargetMode="External"/><Relationship Id="rId45" Type="http://schemas.openxmlformats.org/officeDocument/2006/relationships/hyperlink" Target="https://www.gmc-uk.org/ethical-guidance/ethical-guidance-for-doctors/personal-beliefs-and-medical-practice/personal-beliefs-and-medical-practice" TargetMode="External"/><Relationship Id="rId53" Type="http://schemas.openxmlformats.org/officeDocument/2006/relationships/hyperlink" Target="https://www.nuffieldbioethics.org/publications/children-and-clinical-research"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mc-uk.org/static/media/Medical_Students/index.html" TargetMode="External"/><Relationship Id="rId23" Type="http://schemas.openxmlformats.org/officeDocument/2006/relationships/hyperlink" Target="https://www.gov.uk/government/publications/make-a-lasting-power-of-attorney/lp12-make-and-register-your-lasting-power-of-attorney-a-guide-web-version" TargetMode="External"/><Relationship Id="rId28" Type="http://schemas.openxmlformats.org/officeDocument/2006/relationships/hyperlink" Target="https://www.gmc-uk.org/ethical-guidance/ethical-guidance-for-doctors/consent" TargetMode="External"/><Relationship Id="rId36" Type="http://schemas.openxmlformats.org/officeDocument/2006/relationships/hyperlink" Target="http://dx.doi.org/10.1136/medethics-2014-102304" TargetMode="External"/><Relationship Id="rId49" Type="http://schemas.openxmlformats.org/officeDocument/2006/relationships/hyperlink" Target="https://www.cps.gov.uk/publication/assisted-suicide" TargetMode="External"/><Relationship Id="rId57" Type="http://schemas.openxmlformats.org/officeDocument/2006/relationships/fontTable" Target="fontTable.xml"/><Relationship Id="rId10" Type="http://schemas.openxmlformats.org/officeDocument/2006/relationships/hyperlink" Target="https://www.bma.org.uk/advice/employment/ethics/medical-students-ethics-toolkit" TargetMode="External"/><Relationship Id="rId19" Type="http://schemas.openxmlformats.org/officeDocument/2006/relationships/hyperlink" Target="https://www.transfusionguidelines.org/transfusion-handbook/12-management-of-patients-who-do-not-accept-transfusion/12-2-jehovah-s-witnesses-and-blood-transfusion" TargetMode="External"/><Relationship Id="rId31" Type="http://schemas.openxmlformats.org/officeDocument/2006/relationships/hyperlink" Target="https://www.supremecourt.uk/decided-cases/docs/UKSC_2013_0136_Judgment.pdf" TargetMode="External"/><Relationship Id="rId44" Type="http://schemas.openxmlformats.org/officeDocument/2006/relationships/hyperlink" Target="https://www.gov.uk/government/news/new-mental-health-act-code-of-practice.%201983.%20Revised%202005" TargetMode="External"/><Relationship Id="rId52" Type="http://schemas.openxmlformats.org/officeDocument/2006/relationships/hyperlink" Target="https://www.hra.nhs.uk/planning-and-improving-research/policies-standards-legislation/data-protection-and-information-governance/gdpr-guidance/what-law-says/consent-research/" TargetMode="External"/><Relationship Id="rId4" Type="http://schemas.openxmlformats.org/officeDocument/2006/relationships/settings" Target="settings.xml"/><Relationship Id="rId9" Type="http://schemas.openxmlformats.org/officeDocument/2006/relationships/hyperlink" Target="https://www.gmc-uk.org/ethical-guidance/learning-materials/good-medical-practice-in-action" TargetMode="External"/><Relationship Id="rId14" Type="http://schemas.openxmlformats.org/officeDocument/2006/relationships/hyperlink" Target="http://dx.doi.org/10.1136/jme.2007.021212" TargetMode="External"/><Relationship Id="rId22" Type="http://schemas.openxmlformats.org/officeDocument/2006/relationships/hyperlink" Target="https://www.nwas.nhs.uk/media/281368/20013_adrt.pdf" TargetMode="External"/><Relationship Id="rId27" Type="http://schemas.openxmlformats.org/officeDocument/2006/relationships/hyperlink" Target="https://www.bma.org.uk/advice/employment/ethics/mental-capacity/deprivation-of-liberty-safeguards" TargetMode="External"/><Relationship Id="rId30" Type="http://schemas.openxmlformats.org/officeDocument/2006/relationships/hyperlink" Target="http://www.bailii.org/ew/cases/EWCA/Civ/2015/8.html" TargetMode="External"/><Relationship Id="rId35" Type="http://schemas.openxmlformats.org/officeDocument/2006/relationships/hyperlink" Target="http://dx.doi.org/10.1136/jme.26.5.323" TargetMode="External"/><Relationship Id="rId43" Type="http://schemas.openxmlformats.org/officeDocument/2006/relationships/hyperlink" Target="https://www.gov.uk/government/publications/mental-capacity-act-code-of-practice" TargetMode="External"/><Relationship Id="rId48" Type="http://schemas.openxmlformats.org/officeDocument/2006/relationships/hyperlink" Target="https://demos.co.uk/project/the-commission-on-assisted-dying/" TargetMode="External"/><Relationship Id="rId56" Type="http://schemas.openxmlformats.org/officeDocument/2006/relationships/hyperlink" Target="https://www.gov.uk/government/publications/mental-capacity-act-code-of-practice" TargetMode="External"/><Relationship Id="rId8" Type="http://schemas.openxmlformats.org/officeDocument/2006/relationships/hyperlink" Target="https://www.gmc-uk.org/ethical-guidance" TargetMode="External"/><Relationship Id="rId51" Type="http://schemas.openxmlformats.org/officeDocument/2006/relationships/hyperlink" Target="https://www.futurelearn.com/courses/research-ethics-an-introduction"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D37D6-B940-4744-9B33-6EBAB8269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5181</Words>
  <Characters>29534</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Phil Greenwood</cp:lastModifiedBy>
  <cp:revision>2</cp:revision>
  <dcterms:created xsi:type="dcterms:W3CDTF">2020-09-21T17:11:00Z</dcterms:created>
  <dcterms:modified xsi:type="dcterms:W3CDTF">2020-09-21T17:11:00Z</dcterms:modified>
</cp:coreProperties>
</file>